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A934F" w14:textId="77777777" w:rsidR="00380BA9" w:rsidRPr="002C2FB2" w:rsidRDefault="00380BA9" w:rsidP="00525829">
      <w:pPr>
        <w:spacing w:after="1440" w:afterAutospacing="0"/>
        <w:jc w:val="center"/>
        <w:rPr>
          <w:b/>
        </w:rPr>
      </w:pPr>
      <w:r>
        <w:rPr>
          <w:noProof/>
          <w:lang w:eastAsia="en-AU"/>
        </w:rPr>
        <w:drawing>
          <wp:inline distT="0" distB="0" distL="0" distR="0" wp14:anchorId="14389D93" wp14:editId="62DDFA46">
            <wp:extent cx="1162373" cy="1118653"/>
            <wp:effectExtent l="0" t="0" r="0" b="5715"/>
            <wp:docPr id="8" name="Picture 8" descr="WA Government Crest" title="WA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pc.wa.gov.au/GuidelinesAndPolicies/CommonBadging/PublishingImages/downloads/govOfWA+Text/govOfWA+TextBlack_562x54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0175" cy="1135785"/>
                    </a:xfrm>
                    <a:prstGeom prst="rect">
                      <a:avLst/>
                    </a:prstGeom>
                    <a:noFill/>
                    <a:ln>
                      <a:noFill/>
                    </a:ln>
                  </pic:spPr>
                </pic:pic>
              </a:graphicData>
            </a:graphic>
          </wp:inline>
        </w:drawing>
      </w:r>
    </w:p>
    <w:p w14:paraId="43B5D1EE" w14:textId="77777777" w:rsidR="00380BA9" w:rsidRPr="00103F34" w:rsidRDefault="00380BA9" w:rsidP="00380BA9">
      <w:pPr>
        <w:jc w:val="center"/>
        <w:rPr>
          <w:b/>
          <w:sz w:val="32"/>
          <w:szCs w:val="32"/>
        </w:rPr>
      </w:pPr>
    </w:p>
    <w:p w14:paraId="31437A38" w14:textId="77777777" w:rsidR="00380BA9" w:rsidRPr="002C2FB2" w:rsidRDefault="00380BA9" w:rsidP="00380BA9">
      <w:pPr>
        <w:jc w:val="center"/>
        <w:rPr>
          <w:rStyle w:val="BookTitle"/>
        </w:rPr>
      </w:pPr>
      <w:r w:rsidRPr="681C06F2">
        <w:rPr>
          <w:rStyle w:val="BookTitle"/>
        </w:rPr>
        <w:t>Whole of Government</w:t>
      </w:r>
    </w:p>
    <w:p w14:paraId="04B47942" w14:textId="77777777" w:rsidR="00380BA9" w:rsidRDefault="00380BA9" w:rsidP="00380BA9">
      <w:pPr>
        <w:jc w:val="center"/>
        <w:rPr>
          <w:rStyle w:val="BookTitle"/>
          <w:b/>
        </w:rPr>
      </w:pPr>
      <w:r w:rsidRPr="681C06F2">
        <w:rPr>
          <w:rStyle w:val="BookTitle"/>
          <w:b/>
        </w:rPr>
        <w:t>ICT Disaster Recovery</w:t>
      </w:r>
      <w:r>
        <w:br/>
      </w:r>
      <w:r w:rsidRPr="681C06F2">
        <w:rPr>
          <w:rStyle w:val="BookTitle"/>
          <w:b/>
        </w:rPr>
        <w:t>for Business Continuity Policy</w:t>
      </w:r>
    </w:p>
    <w:p w14:paraId="1A9C9453" w14:textId="77777777" w:rsidR="00380BA9" w:rsidRPr="00380BA9" w:rsidRDefault="00380BA9" w:rsidP="00380BA9">
      <w:pPr>
        <w:jc w:val="center"/>
        <w:rPr>
          <w:rStyle w:val="BookTitle"/>
        </w:rPr>
      </w:pPr>
    </w:p>
    <w:p w14:paraId="03F2E23D" w14:textId="4910C6DC" w:rsidR="00380BA9" w:rsidRPr="00380BA9" w:rsidRDefault="00380BA9" w:rsidP="00380BA9">
      <w:pPr>
        <w:jc w:val="center"/>
        <w:rPr>
          <w:rStyle w:val="BookTitle"/>
        </w:rPr>
      </w:pPr>
      <w:r>
        <w:rPr>
          <w:rStyle w:val="BookTitle"/>
        </w:rPr>
        <w:t>A supplementary guide.</w:t>
      </w:r>
    </w:p>
    <w:p w14:paraId="1E247E2A" w14:textId="3F8CA09E" w:rsidR="00844050" w:rsidRDefault="00844050" w:rsidP="00380BA9">
      <w:pPr>
        <w:pStyle w:val="Title"/>
        <w:jc w:val="center"/>
        <w:sectPr w:rsidR="00844050" w:rsidSect="00844050">
          <w:footerReference w:type="default" r:id="rId9"/>
          <w:pgSz w:w="11906" w:h="16838"/>
          <w:pgMar w:top="1440" w:right="1440" w:bottom="1440" w:left="1440" w:header="708" w:footer="708" w:gutter="0"/>
          <w:cols w:space="708"/>
          <w:titlePg/>
          <w:docGrid w:linePitch="360"/>
        </w:sectPr>
      </w:pPr>
    </w:p>
    <w:p w14:paraId="393822E0" w14:textId="77777777" w:rsidR="00A5618D" w:rsidRDefault="00A5618D" w:rsidP="00A5618D">
      <w:pPr>
        <w:pStyle w:val="Heading1"/>
        <w:ind w:left="709" w:hanging="709"/>
      </w:pPr>
      <w:r>
        <w:lastRenderedPageBreak/>
        <w:t>Document Control</w:t>
      </w:r>
    </w:p>
    <w:p w14:paraId="399EBBB3" w14:textId="2F06FEC5" w:rsidR="00A5618D" w:rsidRPr="002C2FB2" w:rsidRDefault="00A5618D" w:rsidP="00A5618D">
      <w:pPr>
        <w:pStyle w:val="Default"/>
      </w:pPr>
      <w:r w:rsidRPr="0CF90096">
        <w:rPr>
          <w:b/>
          <w:bCs/>
        </w:rPr>
        <w:t>The Western Australian Whole of Government</w:t>
      </w:r>
      <w:r>
        <w:br/>
      </w:r>
      <w:r>
        <w:rPr>
          <w:b/>
          <w:bCs/>
        </w:rPr>
        <w:t xml:space="preserve">ICT </w:t>
      </w:r>
      <w:r w:rsidRPr="0CF90096">
        <w:rPr>
          <w:b/>
          <w:bCs/>
        </w:rPr>
        <w:t xml:space="preserve">Disaster Recovery </w:t>
      </w:r>
      <w:r w:rsidR="00DE21DE">
        <w:rPr>
          <w:b/>
          <w:bCs/>
        </w:rPr>
        <w:t xml:space="preserve">for Business Continuity </w:t>
      </w:r>
      <w:r w:rsidRPr="0CF90096">
        <w:rPr>
          <w:b/>
          <w:bCs/>
        </w:rPr>
        <w:t>Policy</w:t>
      </w:r>
      <w:r w:rsidR="00B37E9D">
        <w:rPr>
          <w:b/>
          <w:bCs/>
        </w:rPr>
        <w:t>: A</w:t>
      </w:r>
      <w:r>
        <w:rPr>
          <w:b/>
          <w:bCs/>
        </w:rPr>
        <w:t xml:space="preserve"> </w:t>
      </w:r>
      <w:r w:rsidR="00B37E9D">
        <w:rPr>
          <w:b/>
          <w:bCs/>
        </w:rPr>
        <w:t>Supplementary Guide</w:t>
      </w:r>
      <w:r>
        <w:br/>
        <w:t xml:space="preserve">Version 1 – </w:t>
      </w:r>
      <w:r w:rsidR="009B2C95">
        <w:t xml:space="preserve">April </w:t>
      </w:r>
      <w:r>
        <w:t>201</w:t>
      </w:r>
      <w:r w:rsidR="00DE21DE">
        <w:t>7</w:t>
      </w:r>
      <w:r w:rsidR="00DE2056">
        <w:t>.</w:t>
      </w:r>
    </w:p>
    <w:p w14:paraId="3872F204" w14:textId="4D9FC598" w:rsidR="00DE2056" w:rsidRPr="002C2FB2" w:rsidRDefault="00DE2056" w:rsidP="00DE2056">
      <w:pPr>
        <w:pStyle w:val="Default"/>
      </w:pPr>
      <w:r w:rsidRPr="681C06F2">
        <w:rPr>
          <w:b/>
          <w:bCs/>
        </w:rPr>
        <w:t>Produced and published by</w:t>
      </w:r>
      <w:r w:rsidRPr="00B37912">
        <w:rPr>
          <w:b/>
        </w:rPr>
        <w:t>:</w:t>
      </w:r>
      <w:r>
        <w:t xml:space="preserve"> Office of the Government Chief Information Officer.</w:t>
      </w:r>
    </w:p>
    <w:p w14:paraId="2CBB4D2F" w14:textId="2375B35D" w:rsidR="00DE2056" w:rsidRDefault="00DE2056" w:rsidP="00DE2056">
      <w:pPr>
        <w:pStyle w:val="Default"/>
      </w:pPr>
      <w:r w:rsidRPr="681C06F2">
        <w:rPr>
          <w:b/>
          <w:bCs/>
        </w:rPr>
        <w:t>Acknowledgements</w:t>
      </w:r>
      <w:r>
        <w:rPr>
          <w:b/>
          <w:bCs/>
        </w:rPr>
        <w:t>:</w:t>
      </w:r>
      <w:r>
        <w:t xml:space="preserve"> The Policy was developed in collaboration with Western Australian public sector agencies.</w:t>
      </w:r>
    </w:p>
    <w:p w14:paraId="7DD343EB" w14:textId="77777777" w:rsidR="00A5618D" w:rsidRPr="000769FA" w:rsidRDefault="00A5618D" w:rsidP="00A5618D">
      <w:pPr>
        <w:pStyle w:val="Default"/>
        <w:rPr>
          <w:b/>
        </w:rPr>
      </w:pPr>
      <w:r w:rsidRPr="0CF90096">
        <w:rPr>
          <w:b/>
          <w:bCs/>
        </w:rPr>
        <w:t>Contact:</w:t>
      </w:r>
    </w:p>
    <w:p w14:paraId="2CE199BD" w14:textId="77777777" w:rsidR="00A5618D" w:rsidRDefault="00A5618D" w:rsidP="00A5618D">
      <w:pPr>
        <w:pStyle w:val="Default"/>
      </w:pPr>
      <w:r>
        <w:t>Office of the Government Chief Information Officer</w:t>
      </w:r>
    </w:p>
    <w:p w14:paraId="65D3BBCD" w14:textId="77777777" w:rsidR="00A5618D" w:rsidRDefault="00A5618D" w:rsidP="00A5618D">
      <w:pPr>
        <w:pStyle w:val="Default"/>
      </w:pPr>
      <w:r>
        <w:t>2 Havelock Street</w:t>
      </w:r>
    </w:p>
    <w:p w14:paraId="06D8A701" w14:textId="77777777" w:rsidR="00A5618D" w:rsidRDefault="00A5618D" w:rsidP="00A5618D">
      <w:pPr>
        <w:pStyle w:val="Default"/>
      </w:pPr>
      <w:r>
        <w:t xml:space="preserve">WEST </w:t>
      </w:r>
      <w:proofErr w:type="gramStart"/>
      <w:r>
        <w:t>PERTH  WA</w:t>
      </w:r>
      <w:proofErr w:type="gramEnd"/>
      <w:r>
        <w:t xml:space="preserve">  6005</w:t>
      </w:r>
    </w:p>
    <w:p w14:paraId="408B8AAF" w14:textId="04A84B22" w:rsidR="00A5618D" w:rsidRDefault="00A5618D" w:rsidP="00A5618D">
      <w:pPr>
        <w:pStyle w:val="Default"/>
      </w:pPr>
      <w:r>
        <w:t>Telephone: (08) 655</w:t>
      </w:r>
      <w:r w:rsidR="00DE2056">
        <w:t>1</w:t>
      </w:r>
      <w:r>
        <w:t xml:space="preserve"> </w:t>
      </w:r>
      <w:r w:rsidR="00DE2056">
        <w:t>3927</w:t>
      </w:r>
    </w:p>
    <w:p w14:paraId="445433B1" w14:textId="475703DC" w:rsidR="00A5618D" w:rsidRDefault="00A5618D" w:rsidP="00A5618D">
      <w:pPr>
        <w:pStyle w:val="Default"/>
      </w:pPr>
      <w:r>
        <w:t xml:space="preserve">Email: </w:t>
      </w:r>
      <w:hyperlink r:id="rId10">
        <w:r w:rsidRPr="0CF90096">
          <w:rPr>
            <w:rStyle w:val="Hyperlink"/>
          </w:rPr>
          <w:t>policy@gcio.wa.gov.au</w:t>
        </w:r>
      </w:hyperlink>
      <w:r>
        <w:t xml:space="preserve"> </w:t>
      </w:r>
    </w:p>
    <w:p w14:paraId="6D4FD827" w14:textId="77777777" w:rsidR="00A5618D" w:rsidRPr="000769FA" w:rsidRDefault="00A5618D" w:rsidP="00A5618D">
      <w:pPr>
        <w:pStyle w:val="Default"/>
        <w:rPr>
          <w:b/>
        </w:rPr>
      </w:pPr>
      <w:r w:rsidRPr="0CF90096">
        <w:rPr>
          <w:b/>
          <w:bCs/>
        </w:rPr>
        <w:t>Document version history</w:t>
      </w:r>
    </w:p>
    <w:tbl>
      <w:tblPr>
        <w:tblStyle w:val="TableGrid"/>
        <w:tblW w:w="0" w:type="auto"/>
        <w:tblLook w:val="04A0" w:firstRow="1" w:lastRow="0" w:firstColumn="1" w:lastColumn="0" w:noHBand="0" w:noVBand="1"/>
        <w:tblCaption w:val="Document version history"/>
        <w:tblDescription w:val="Date: April 2017&#10;Author: Office of the GCIO&#10;Version: 1&#10;Revision notes: published."/>
      </w:tblPr>
      <w:tblGrid>
        <w:gridCol w:w="1764"/>
        <w:gridCol w:w="2076"/>
        <w:gridCol w:w="1806"/>
        <w:gridCol w:w="3619"/>
      </w:tblGrid>
      <w:tr w:rsidR="00A5618D" w14:paraId="733FBC73" w14:textId="77777777" w:rsidTr="00525829">
        <w:trPr>
          <w:tblHeader/>
        </w:trPr>
        <w:tc>
          <w:tcPr>
            <w:tcW w:w="1764" w:type="dxa"/>
          </w:tcPr>
          <w:p w14:paraId="2B243B9E" w14:textId="77777777" w:rsidR="00A5618D" w:rsidRPr="000769FA" w:rsidRDefault="00A5618D" w:rsidP="00264E9B">
            <w:pPr>
              <w:pStyle w:val="Default"/>
              <w:spacing w:before="60" w:after="60"/>
              <w:rPr>
                <w:b/>
              </w:rPr>
            </w:pPr>
            <w:r w:rsidRPr="0CF90096">
              <w:rPr>
                <w:b/>
                <w:bCs/>
              </w:rPr>
              <w:t>Date</w:t>
            </w:r>
          </w:p>
        </w:tc>
        <w:tc>
          <w:tcPr>
            <w:tcW w:w="2076" w:type="dxa"/>
          </w:tcPr>
          <w:p w14:paraId="280FE229" w14:textId="77777777" w:rsidR="00A5618D" w:rsidRPr="000769FA" w:rsidRDefault="00A5618D" w:rsidP="00264E9B">
            <w:pPr>
              <w:pStyle w:val="Default"/>
              <w:spacing w:before="60" w:after="60"/>
              <w:rPr>
                <w:b/>
              </w:rPr>
            </w:pPr>
            <w:r w:rsidRPr="0CF90096">
              <w:rPr>
                <w:b/>
                <w:bCs/>
              </w:rPr>
              <w:t>Author</w:t>
            </w:r>
          </w:p>
        </w:tc>
        <w:tc>
          <w:tcPr>
            <w:tcW w:w="1806" w:type="dxa"/>
          </w:tcPr>
          <w:p w14:paraId="0463F67F" w14:textId="77777777" w:rsidR="00A5618D" w:rsidRPr="000769FA" w:rsidRDefault="00A5618D" w:rsidP="00264E9B">
            <w:pPr>
              <w:pStyle w:val="Default"/>
              <w:spacing w:before="60" w:after="60"/>
              <w:rPr>
                <w:b/>
              </w:rPr>
            </w:pPr>
            <w:r w:rsidRPr="0CF90096">
              <w:rPr>
                <w:b/>
                <w:bCs/>
              </w:rPr>
              <w:t>Version</w:t>
            </w:r>
          </w:p>
        </w:tc>
        <w:tc>
          <w:tcPr>
            <w:tcW w:w="3619" w:type="dxa"/>
          </w:tcPr>
          <w:p w14:paraId="09F41113" w14:textId="77777777" w:rsidR="00A5618D" w:rsidRPr="000769FA" w:rsidRDefault="00A5618D" w:rsidP="00264E9B">
            <w:pPr>
              <w:pStyle w:val="Default"/>
              <w:spacing w:before="60" w:after="60"/>
              <w:rPr>
                <w:b/>
              </w:rPr>
            </w:pPr>
            <w:r w:rsidRPr="0CF90096">
              <w:rPr>
                <w:b/>
                <w:bCs/>
              </w:rPr>
              <w:t>Revision Notes</w:t>
            </w:r>
          </w:p>
        </w:tc>
      </w:tr>
      <w:tr w:rsidR="00A5618D" w14:paraId="065F4111" w14:textId="77777777" w:rsidTr="00A5618D">
        <w:tc>
          <w:tcPr>
            <w:tcW w:w="1764" w:type="dxa"/>
          </w:tcPr>
          <w:p w14:paraId="6F2D6A9B" w14:textId="3A6884F6" w:rsidR="00A5618D" w:rsidRPr="005042CE" w:rsidRDefault="009B2C95" w:rsidP="00264E9B">
            <w:pPr>
              <w:pStyle w:val="Default"/>
              <w:spacing w:before="60" w:after="60"/>
            </w:pPr>
            <w:r>
              <w:t xml:space="preserve">April </w:t>
            </w:r>
            <w:r w:rsidR="00DE2056">
              <w:t>2017</w:t>
            </w:r>
          </w:p>
        </w:tc>
        <w:tc>
          <w:tcPr>
            <w:tcW w:w="2076" w:type="dxa"/>
          </w:tcPr>
          <w:p w14:paraId="3C5FACA0" w14:textId="040DA1DA" w:rsidR="00A5618D" w:rsidRPr="005042CE" w:rsidRDefault="00A5618D" w:rsidP="00264E9B">
            <w:pPr>
              <w:pStyle w:val="Default"/>
              <w:spacing w:before="60" w:after="60"/>
            </w:pPr>
            <w:r w:rsidRPr="005042CE">
              <w:t>O</w:t>
            </w:r>
            <w:r w:rsidR="00B0095D">
              <w:t xml:space="preserve">ffice of the </w:t>
            </w:r>
            <w:r w:rsidRPr="005042CE">
              <w:t>GCIO</w:t>
            </w:r>
          </w:p>
        </w:tc>
        <w:tc>
          <w:tcPr>
            <w:tcW w:w="1806" w:type="dxa"/>
          </w:tcPr>
          <w:p w14:paraId="3D6E5AC1" w14:textId="09117C93" w:rsidR="00A5618D" w:rsidRPr="005042CE" w:rsidRDefault="000C7FC1" w:rsidP="00264E9B">
            <w:pPr>
              <w:pStyle w:val="Default"/>
              <w:spacing w:before="60" w:after="60"/>
            </w:pPr>
            <w:r w:rsidRPr="005042CE">
              <w:t>1</w:t>
            </w:r>
          </w:p>
        </w:tc>
        <w:tc>
          <w:tcPr>
            <w:tcW w:w="3619" w:type="dxa"/>
          </w:tcPr>
          <w:p w14:paraId="4D9C75C7" w14:textId="340E6F64" w:rsidR="00A5618D" w:rsidRPr="005042CE" w:rsidRDefault="000D4D6B" w:rsidP="005042CE">
            <w:pPr>
              <w:pStyle w:val="Default"/>
              <w:spacing w:before="60" w:after="60"/>
            </w:pPr>
            <w:r>
              <w:t>Published</w:t>
            </w:r>
            <w:r w:rsidR="009B2C95">
              <w:t>.</w:t>
            </w:r>
          </w:p>
        </w:tc>
      </w:tr>
    </w:tbl>
    <w:p w14:paraId="3FF60CBE" w14:textId="77777777" w:rsidR="00A5618D" w:rsidRPr="002C2FB2" w:rsidRDefault="00A5618D" w:rsidP="00A5618D"/>
    <w:p w14:paraId="5D539D07" w14:textId="5DCD06CC" w:rsidR="00A5618D" w:rsidRPr="002C2FB2" w:rsidRDefault="00A5618D" w:rsidP="00A5618D">
      <w:r w:rsidRPr="002C2FB2">
        <w:rPr>
          <w:noProof/>
          <w:lang w:eastAsia="en-AU"/>
        </w:rPr>
        <w:drawing>
          <wp:inline distT="0" distB="0" distL="0" distR="0" wp14:anchorId="42DE9FFD" wp14:editId="71AC74D7">
            <wp:extent cx="828675" cy="295275"/>
            <wp:effectExtent l="0" t="0" r="9525" b="9525"/>
            <wp:docPr id="2" name="Picture 2" descr="cid:image001.png@01D08C07.2BC9F5A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8C07.2BC9F5A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p w14:paraId="6BBC04BC" w14:textId="35B98896" w:rsidR="00A5618D" w:rsidRPr="002C2FB2" w:rsidRDefault="00A5618D" w:rsidP="00A5618D">
      <w:pPr>
        <w:pStyle w:val="Default"/>
      </w:pPr>
      <w:r w:rsidRPr="002C2FB2">
        <w:t xml:space="preserve">This document, </w:t>
      </w:r>
      <w:r w:rsidR="00B37E9D">
        <w:rPr>
          <w:b/>
          <w:bCs/>
        </w:rPr>
        <w:t xml:space="preserve">ICT </w:t>
      </w:r>
      <w:r w:rsidR="00B37E9D" w:rsidRPr="0CF90096">
        <w:rPr>
          <w:b/>
          <w:bCs/>
        </w:rPr>
        <w:t xml:space="preserve">Disaster Recovery </w:t>
      </w:r>
      <w:r w:rsidR="00B37E9D">
        <w:rPr>
          <w:b/>
          <w:bCs/>
        </w:rPr>
        <w:t xml:space="preserve">for Business Continuity </w:t>
      </w:r>
      <w:r w:rsidR="00B37E9D" w:rsidRPr="0CF90096">
        <w:rPr>
          <w:b/>
          <w:bCs/>
        </w:rPr>
        <w:t>Policy</w:t>
      </w:r>
      <w:r w:rsidR="00B37E9D">
        <w:rPr>
          <w:b/>
          <w:bCs/>
        </w:rPr>
        <w:t>: A Supplementary Guide</w:t>
      </w:r>
      <w:r w:rsidR="00DE2056">
        <w:rPr>
          <w:b/>
          <w:bCs/>
        </w:rPr>
        <w:t>, Version 1</w:t>
      </w:r>
      <w:r w:rsidR="00B37E9D" w:rsidRPr="002C2FB2" w:rsidDel="00B37E9D">
        <w:t xml:space="preserve"> </w:t>
      </w:r>
      <w:r w:rsidRPr="002C2FB2">
        <w:t xml:space="preserve">is licensed under a </w:t>
      </w:r>
      <w:r w:rsidRPr="00590569">
        <w:rPr>
          <w:b/>
          <w:bCs/>
        </w:rPr>
        <w:t>Creative Commons Attribution 4.0 International Licence</w:t>
      </w:r>
      <w:r w:rsidR="002B7469" w:rsidRPr="002C2FB2">
        <w:t xml:space="preserve">.  </w:t>
      </w:r>
      <w:r w:rsidRPr="002C2FB2">
        <w:t>You are free to re-use the work under that licence, on the condition that you attribute the Government of Western Australia (</w:t>
      </w:r>
      <w:r>
        <w:t>Office of the Government Chief Information Officer</w:t>
      </w:r>
      <w:r w:rsidRPr="002C2FB2">
        <w:t>) as author, indicate if changes were made, and comply with the other licence terms</w:t>
      </w:r>
      <w:r w:rsidR="002B7469" w:rsidRPr="002C2FB2">
        <w:t xml:space="preserve">.  </w:t>
      </w:r>
      <w:r w:rsidRPr="002C2FB2">
        <w:t>The licence does not apply to any branding or images.</w:t>
      </w:r>
    </w:p>
    <w:p w14:paraId="270E8F6B" w14:textId="77777777" w:rsidR="00A5618D" w:rsidRPr="002C2FB2" w:rsidRDefault="00A5618D" w:rsidP="00A5618D">
      <w:pPr>
        <w:pStyle w:val="Default"/>
      </w:pPr>
      <w:r w:rsidRPr="0CF90096">
        <w:rPr>
          <w:rFonts w:eastAsia="Arial"/>
          <w:b/>
          <w:bCs/>
        </w:rPr>
        <w:t xml:space="preserve">License URL: </w:t>
      </w:r>
      <w:hyperlink r:id="rId14">
        <w:r w:rsidRPr="0CF90096">
          <w:rPr>
            <w:rStyle w:val="Hyperlink"/>
            <w:rFonts w:eastAsia="Arial"/>
          </w:rPr>
          <w:t>https://creativecommons.org/licenses/by/4.0/legalcode</w:t>
        </w:r>
      </w:hyperlink>
    </w:p>
    <w:p w14:paraId="74A0BDBB" w14:textId="209636DF" w:rsidR="00A5618D" w:rsidRPr="002C2FB2" w:rsidRDefault="00A5618D" w:rsidP="00A5618D">
      <w:pPr>
        <w:pStyle w:val="Default"/>
      </w:pPr>
      <w:r w:rsidRPr="0CF90096">
        <w:rPr>
          <w:b/>
          <w:bCs/>
        </w:rPr>
        <w:t>Attribution:</w:t>
      </w:r>
      <w:r>
        <w:t xml:space="preserve"> © Government of Western Australia (</w:t>
      </w:r>
      <w:hyperlink r:id="rId15">
        <w:r w:rsidRPr="0CF90096">
          <w:rPr>
            <w:rStyle w:val="Hyperlink"/>
          </w:rPr>
          <w:t>Office of the Government Chief Information Officer</w:t>
        </w:r>
      </w:hyperlink>
      <w:r w:rsidR="00380BA9">
        <w:t>) 2017</w:t>
      </w:r>
    </w:p>
    <w:p w14:paraId="559BA22C" w14:textId="77777777" w:rsidR="00A5618D" w:rsidRPr="002C2FB2" w:rsidRDefault="00A5618D" w:rsidP="00A5618D">
      <w:pPr>
        <w:pStyle w:val="Default"/>
        <w:rPr>
          <w:b/>
        </w:rPr>
      </w:pPr>
      <w:r w:rsidRPr="0CF90096">
        <w:rPr>
          <w:b/>
          <w:bCs/>
        </w:rPr>
        <w:t>Notice Identifying Other Material and/or Rights in this Publication:</w:t>
      </w:r>
    </w:p>
    <w:p w14:paraId="4EA959E9" w14:textId="77777777" w:rsidR="00A5618D" w:rsidRPr="002C2FB2" w:rsidRDefault="00A5618D" w:rsidP="00A5618D">
      <w:pPr>
        <w:pStyle w:val="Default"/>
        <w:rPr>
          <w:b/>
        </w:rPr>
      </w:pPr>
      <w:r>
        <w:t xml:space="preserve">The Creative Commons licence does not apply to the Government of Western Australia Coat of Arms.  Permission to reuse the Coat of Arms can be obtained from the </w:t>
      </w:r>
      <w:hyperlink r:id="rId16">
        <w:r w:rsidRPr="0CF90096">
          <w:rPr>
            <w:rStyle w:val="Hyperlink"/>
          </w:rPr>
          <w:t>Department of Premier and Cabinet</w:t>
        </w:r>
      </w:hyperlink>
      <w:r>
        <w:t>.</w:t>
      </w:r>
    </w:p>
    <w:p w14:paraId="51EB1703" w14:textId="77777777" w:rsidR="00A5618D" w:rsidRDefault="00A5618D" w:rsidP="00A5618D">
      <w:pPr>
        <w:sectPr w:rsidR="00A5618D" w:rsidSect="00264E9B">
          <w:headerReference w:type="default" r:id="rId17"/>
          <w:footerReference w:type="default" r:id="rId18"/>
          <w:pgSz w:w="11906" w:h="16838"/>
          <w:pgMar w:top="1440" w:right="1191" w:bottom="1440" w:left="1440" w:header="709" w:footer="624" w:gutter="0"/>
          <w:cols w:space="708"/>
          <w:docGrid w:linePitch="360"/>
        </w:sectPr>
      </w:pPr>
    </w:p>
    <w:p w14:paraId="5BBE022F" w14:textId="43F864C4" w:rsidR="004C4992" w:rsidRDefault="00AC1102" w:rsidP="00F1046E">
      <w:pPr>
        <w:pStyle w:val="Heading1"/>
        <w:spacing w:before="100" w:after="100"/>
      </w:pPr>
      <w:r>
        <w:t>Introduction</w:t>
      </w:r>
    </w:p>
    <w:p w14:paraId="2366A07D" w14:textId="316981A7" w:rsidR="00EC7FD3" w:rsidRDefault="0077347C" w:rsidP="0077347C">
      <w:r>
        <w:t xml:space="preserve">This document is to be read in conjunction with the Office of the Government Chief Information Officer (GCIO) whole-of-government </w:t>
      </w:r>
      <w:r w:rsidR="00055750">
        <w:t xml:space="preserve">Information and Communications Technology (ICT) Disaster Recovery </w:t>
      </w:r>
      <w:r w:rsidR="00DE21DE">
        <w:t xml:space="preserve">for </w:t>
      </w:r>
      <w:r>
        <w:t>Business Continuity Policy (the Policy).</w:t>
      </w:r>
    </w:p>
    <w:p w14:paraId="3327A5F7" w14:textId="07BB5D1B" w:rsidR="0077347C" w:rsidRDefault="00EC7FD3" w:rsidP="0077347C">
      <w:r>
        <w:t>The purpose of this document is to</w:t>
      </w:r>
      <w:r w:rsidR="00DA6772">
        <w:t xml:space="preserve"> provide</w:t>
      </w:r>
      <w:r>
        <w:t>:</w:t>
      </w:r>
    </w:p>
    <w:p w14:paraId="1316C44F" w14:textId="39EF7CBF" w:rsidR="0077347C" w:rsidRDefault="0077347C" w:rsidP="0077347C">
      <w:pPr>
        <w:pStyle w:val="ListParagraph"/>
        <w:numPr>
          <w:ilvl w:val="0"/>
          <w:numId w:val="15"/>
        </w:numPr>
      </w:pPr>
      <w:r>
        <w:t>additional context to the Policy</w:t>
      </w:r>
      <w:r w:rsidR="00EC7FD3">
        <w:t>;</w:t>
      </w:r>
    </w:p>
    <w:p w14:paraId="1E7DDC7D" w14:textId="3EF0E35F" w:rsidR="004C4992" w:rsidRDefault="004C4992" w:rsidP="004C4992">
      <w:pPr>
        <w:pStyle w:val="ListParagraph"/>
        <w:numPr>
          <w:ilvl w:val="0"/>
          <w:numId w:val="7"/>
        </w:numPr>
      </w:pPr>
      <w:r w:rsidRPr="00597F14">
        <w:t xml:space="preserve">guidance </w:t>
      </w:r>
      <w:r>
        <w:t>on how to</w:t>
      </w:r>
      <w:r w:rsidRPr="00597F14">
        <w:t xml:space="preserve"> meet the </w:t>
      </w:r>
      <w:r w:rsidR="00EC7FD3">
        <w:t>requirements of</w:t>
      </w:r>
      <w:r w:rsidRPr="00597F14">
        <w:t xml:space="preserve"> </w:t>
      </w:r>
      <w:r w:rsidR="00EC7FD3">
        <w:t>the Policy; and</w:t>
      </w:r>
    </w:p>
    <w:p w14:paraId="2CAD9C49" w14:textId="11799CCC" w:rsidR="00DA6772" w:rsidRDefault="00CA4DA5" w:rsidP="00264E9B">
      <w:pPr>
        <w:pStyle w:val="ListParagraph"/>
        <w:numPr>
          <w:ilvl w:val="0"/>
          <w:numId w:val="7"/>
        </w:numPr>
      </w:pPr>
      <w:proofErr w:type="gramStart"/>
      <w:r>
        <w:t>directional</w:t>
      </w:r>
      <w:proofErr w:type="gramEnd"/>
      <w:r>
        <w:t xml:space="preserve"> advice in achieving </w:t>
      </w:r>
      <w:r w:rsidR="00DA6772">
        <w:t>appropriate</w:t>
      </w:r>
      <w:r>
        <w:t xml:space="preserve"> </w:t>
      </w:r>
      <w:r w:rsidR="00C2598F">
        <w:t xml:space="preserve">ICT </w:t>
      </w:r>
      <w:r w:rsidR="00EC7FD3">
        <w:t xml:space="preserve">disaster recovery </w:t>
      </w:r>
      <w:r w:rsidR="00C2598F">
        <w:t xml:space="preserve">and business continuity </w:t>
      </w:r>
      <w:r w:rsidR="005C5436">
        <w:t xml:space="preserve">risk management </w:t>
      </w:r>
      <w:r>
        <w:t>outcomes</w:t>
      </w:r>
      <w:r w:rsidR="004C4992">
        <w:t>.</w:t>
      </w:r>
    </w:p>
    <w:p w14:paraId="223C7058" w14:textId="1B51577E" w:rsidR="00AC1102" w:rsidRDefault="00AC1102" w:rsidP="00DA6772">
      <w:r>
        <w:t>The audience of this document is:</w:t>
      </w:r>
    </w:p>
    <w:p w14:paraId="03AE9BFE" w14:textId="6F832306" w:rsidR="00AC1102" w:rsidRDefault="00362646" w:rsidP="00AC1102">
      <w:pPr>
        <w:pStyle w:val="ListParagraph"/>
        <w:numPr>
          <w:ilvl w:val="0"/>
          <w:numId w:val="16"/>
        </w:numPr>
      </w:pPr>
      <w:r>
        <w:t>those</w:t>
      </w:r>
      <w:r w:rsidR="00AC1102">
        <w:t xml:space="preserve"> accountable for agency risk management;</w:t>
      </w:r>
    </w:p>
    <w:p w14:paraId="5CA2FF57" w14:textId="29B9AAF3" w:rsidR="00AC1102" w:rsidRDefault="00AC1102" w:rsidP="00AC1102">
      <w:pPr>
        <w:pStyle w:val="ListParagraph"/>
        <w:numPr>
          <w:ilvl w:val="0"/>
          <w:numId w:val="16"/>
        </w:numPr>
      </w:pPr>
      <w:r>
        <w:t xml:space="preserve">business </w:t>
      </w:r>
      <w:r w:rsidR="00991162">
        <w:t xml:space="preserve">function owners </w:t>
      </w:r>
      <w:r w:rsidR="0092071B">
        <w:t xml:space="preserve">accountable for </w:t>
      </w:r>
      <w:r w:rsidR="00991162">
        <w:t xml:space="preserve">agency </w:t>
      </w:r>
      <w:r w:rsidR="0092071B">
        <w:t>services</w:t>
      </w:r>
      <w:r>
        <w:t>; and</w:t>
      </w:r>
    </w:p>
    <w:p w14:paraId="742AA2EA" w14:textId="19EBC764" w:rsidR="00AC1102" w:rsidRDefault="00AC1102" w:rsidP="00AC1102">
      <w:pPr>
        <w:pStyle w:val="ListParagraph"/>
        <w:numPr>
          <w:ilvl w:val="0"/>
          <w:numId w:val="16"/>
        </w:numPr>
      </w:pPr>
      <w:r>
        <w:t xml:space="preserve">ICT personnel </w:t>
      </w:r>
      <w:r w:rsidR="00C2598F">
        <w:t>responsible for ICT</w:t>
      </w:r>
      <w:r>
        <w:t xml:space="preserve"> disaster recovery.</w:t>
      </w:r>
    </w:p>
    <w:p w14:paraId="0C36AEA2" w14:textId="32E8CB45" w:rsidR="00345294" w:rsidRDefault="00345294" w:rsidP="00BB389F">
      <w:r>
        <w:t xml:space="preserve">The Policy seeks to </w:t>
      </w:r>
      <w:r w:rsidR="005D5419">
        <w:t xml:space="preserve">integrate </w:t>
      </w:r>
      <w:r>
        <w:t>the disciplines of ICT disaster recovery and business continuity in order to achieve better overall risk management</w:t>
      </w:r>
      <w:r w:rsidDel="00683008">
        <w:t xml:space="preserve"> </w:t>
      </w:r>
      <w:r>
        <w:t>outcomes.  The Policy, and this guide, is intended to be read within the context of agencies’ broader risk management framework.</w:t>
      </w:r>
    </w:p>
    <w:p w14:paraId="646968D7" w14:textId="524B6BEE" w:rsidR="00841669" w:rsidRDefault="00841669" w:rsidP="00841669">
      <w:pPr>
        <w:pStyle w:val="Heading1"/>
      </w:pPr>
      <w:r>
        <w:t xml:space="preserve">Who </w:t>
      </w:r>
      <w:r w:rsidR="00D45B52">
        <w:t>Can H</w:t>
      </w:r>
      <w:r>
        <w:t>elp?</w:t>
      </w:r>
    </w:p>
    <w:p w14:paraId="4A5BF9EF" w14:textId="3FD8066D" w:rsidR="00841669" w:rsidRDefault="00345294" w:rsidP="0015503A">
      <w:r>
        <w:rPr>
          <w:noProof/>
          <w:lang w:eastAsia="en-AU"/>
        </w:rPr>
        <mc:AlternateContent>
          <mc:Choice Requires="wps">
            <w:drawing>
              <wp:anchor distT="0" distB="0" distL="114300" distR="114300" simplePos="0" relativeHeight="251669504" behindDoc="1" locked="0" layoutInCell="1" allowOverlap="1" wp14:anchorId="6EE6ECF8" wp14:editId="62CB5FD2">
                <wp:simplePos x="0" y="0"/>
                <wp:positionH relativeFrom="column">
                  <wp:posOffset>2446324</wp:posOffset>
                </wp:positionH>
                <wp:positionV relativeFrom="paragraph">
                  <wp:posOffset>375499</wp:posOffset>
                </wp:positionV>
                <wp:extent cx="3384550" cy="3554095"/>
                <wp:effectExtent l="0" t="0" r="6350" b="8255"/>
                <wp:wrapTight wrapText="bothSides">
                  <wp:wrapPolygon edited="0">
                    <wp:start x="0" y="0"/>
                    <wp:lineTo x="0" y="21534"/>
                    <wp:lineTo x="21519" y="21534"/>
                    <wp:lineTo x="21519" y="0"/>
                    <wp:lineTo x="0" y="0"/>
                  </wp:wrapPolygon>
                </wp:wrapTight>
                <wp:docPr id="1" name="Rounded Rectangle 1"/>
                <wp:cNvGraphicFramePr/>
                <a:graphic xmlns:a="http://schemas.openxmlformats.org/drawingml/2006/main">
                  <a:graphicData uri="http://schemas.microsoft.com/office/word/2010/wordprocessingShape">
                    <wps:wsp>
                      <wps:cNvSpPr/>
                      <wps:spPr>
                        <a:xfrm>
                          <a:off x="0" y="0"/>
                          <a:ext cx="3384550" cy="3554095"/>
                        </a:xfrm>
                        <a:prstGeom prst="roundRect">
                          <a:avLst>
                            <a:gd name="adj" fmla="val 891"/>
                          </a:avLst>
                        </a:prstGeom>
                        <a:solidFill>
                          <a:schemeClr val="tx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FA9D55" w14:textId="77777777" w:rsidR="009B2C95" w:rsidRPr="00E12CCC" w:rsidRDefault="009B2C95" w:rsidP="009B2C95">
                            <w:pPr>
                              <w:tabs>
                                <w:tab w:val="left" w:pos="993"/>
                              </w:tabs>
                              <w:ind w:left="284" w:right="270"/>
                              <w:jc w:val="center"/>
                              <w:rPr>
                                <w:b/>
                                <w:color w:val="FFFFFF" w:themeColor="background1"/>
                              </w:rPr>
                            </w:pPr>
                            <w:r w:rsidRPr="00E12CCC">
                              <w:rPr>
                                <w:b/>
                                <w:color w:val="FFFFFF" w:themeColor="background1"/>
                              </w:rPr>
                              <w:t>Why is ICT Disaster Recovery Important?</w:t>
                            </w:r>
                          </w:p>
                          <w:p w14:paraId="397294EE" w14:textId="1410F41B" w:rsidR="009B2C95" w:rsidRDefault="009B2C95" w:rsidP="002305BF">
                            <w:pPr>
                              <w:tabs>
                                <w:tab w:val="left" w:pos="993"/>
                              </w:tabs>
                              <w:spacing w:before="0" w:beforeAutospacing="0" w:after="0" w:afterAutospacing="0"/>
                              <w:ind w:left="284" w:right="272"/>
                              <w:rPr>
                                <w:color w:val="FFFFFF" w:themeColor="background1"/>
                              </w:rPr>
                            </w:pPr>
                            <w:r w:rsidRPr="00506CA4">
                              <w:rPr>
                                <w:color w:val="FFFFFF" w:themeColor="background1"/>
                              </w:rPr>
                              <w:t xml:space="preserve">Digitally-enabled services can bring great benefits to citizens and government alike.  However, if they are not available, the consequences can be costly and wide-ranging.  Recent high-profile examples of government system outages </w:t>
                            </w:r>
                            <w:r w:rsidR="00345294" w:rsidRPr="00506CA4">
                              <w:rPr>
                                <w:color w:val="FFFFFF" w:themeColor="background1"/>
                              </w:rPr>
                              <w:t>–</w:t>
                            </w:r>
                            <w:r w:rsidRPr="00506CA4">
                              <w:rPr>
                                <w:color w:val="FFFFFF" w:themeColor="background1"/>
                              </w:rPr>
                              <w:t xml:space="preserve"> such as the 2016 Census and outages suffered by the Australian Tax Office – clearly illustrate the potential risks government organisations are exposed to.</w:t>
                            </w:r>
                          </w:p>
                          <w:p w14:paraId="17981FE0" w14:textId="77777777" w:rsidR="009B2C95" w:rsidRPr="00506CA4" w:rsidRDefault="009B2C95" w:rsidP="002305BF">
                            <w:pPr>
                              <w:tabs>
                                <w:tab w:val="left" w:pos="993"/>
                              </w:tabs>
                              <w:spacing w:before="0" w:beforeAutospacing="0" w:after="0" w:afterAutospacing="0"/>
                              <w:ind w:left="284" w:right="272"/>
                              <w:rPr>
                                <w:color w:val="FFFFFF" w:themeColor="background1"/>
                              </w:rPr>
                            </w:pPr>
                          </w:p>
                          <w:p w14:paraId="468B9C75" w14:textId="0C995BF7" w:rsidR="009B2C95" w:rsidRPr="002305BF" w:rsidRDefault="009B2C95" w:rsidP="002305BF">
                            <w:pPr>
                              <w:tabs>
                                <w:tab w:val="left" w:pos="993"/>
                              </w:tabs>
                              <w:spacing w:before="0" w:beforeAutospacing="0" w:after="0" w:afterAutospacing="0"/>
                              <w:ind w:left="284" w:right="272"/>
                              <w:rPr>
                                <w:color w:val="FFFFFF" w:themeColor="background1"/>
                              </w:rPr>
                            </w:pPr>
                            <w:r w:rsidRPr="00506CA4">
                              <w:rPr>
                                <w:color w:val="FFFFFF" w:themeColor="background1"/>
                              </w:rPr>
                              <w:t>Agencies must implement robust ICT disaster recovery and business continuity arrangements if they are to manage service availability risks within public expectations.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6ECF8" id="Rounded Rectangle 1" o:spid="_x0000_s1026" style="position:absolute;left:0;text-align:left;margin-left:192.6pt;margin-top:29.55pt;width:266.5pt;height:279.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" fillcolor="#003b5f [1613]" stroked="f" strokeweight=".5pt">
                <v:textbox>
                  <w:txbxContent>
                    <w:p w14:paraId="50FA9D55" w14:textId="77777777" w:rsidR="009B2C95" w:rsidRPr="00E12CCC" w:rsidRDefault="009B2C95" w:rsidP="009B2C95">
                      <w:pPr>
                        <w:tabs>
                          <w:tab w:val="left" w:pos="993"/>
                        </w:tabs>
                        <w:ind w:left="284" w:right="270"/>
                        <w:jc w:val="center"/>
                        <w:rPr>
                          <w:b/>
                          <w:color w:val="FFFFFF" w:themeColor="background1"/>
                        </w:rPr>
                      </w:pPr>
                      <w:r w:rsidRPr="00E12CCC">
                        <w:rPr>
                          <w:b/>
                          <w:color w:val="FFFFFF" w:themeColor="background1"/>
                        </w:rPr>
                        <w:t>Why is ICT Disaster Recovery Important?</w:t>
                      </w:r>
                    </w:p>
                    <w:p w14:paraId="397294EE" w14:textId="1410F41B" w:rsidR="009B2C95" w:rsidRDefault="009B2C95" w:rsidP="002305BF">
                      <w:pPr>
                        <w:tabs>
                          <w:tab w:val="left" w:pos="993"/>
                        </w:tabs>
                        <w:spacing w:before="0" w:beforeAutospacing="0" w:after="0" w:afterAutospacing="0"/>
                        <w:ind w:left="284" w:right="272"/>
                        <w:rPr>
                          <w:color w:val="FFFFFF" w:themeColor="background1"/>
                        </w:rPr>
                      </w:pPr>
                      <w:r w:rsidRPr="00506CA4">
                        <w:rPr>
                          <w:color w:val="FFFFFF" w:themeColor="background1"/>
                        </w:rPr>
                        <w:t xml:space="preserve">Digitally-enabled services can bring great benefits to citizens and government alike.  However, if they are not available, the consequences can be costly and wide-ranging.  Recent high-profile examples of government system outages </w:t>
                      </w:r>
                      <w:r w:rsidR="00345294" w:rsidRPr="00506CA4">
                        <w:rPr>
                          <w:color w:val="FFFFFF" w:themeColor="background1"/>
                        </w:rPr>
                        <w:t>–</w:t>
                      </w:r>
                      <w:r w:rsidRPr="00506CA4">
                        <w:rPr>
                          <w:color w:val="FFFFFF" w:themeColor="background1"/>
                        </w:rPr>
                        <w:t xml:space="preserve"> such as the 2016 Census and outages suffered by the Australian Tax Office – clearly illustrate the potential risks government organisations are exposed to.</w:t>
                      </w:r>
                    </w:p>
                    <w:p w14:paraId="17981FE0" w14:textId="77777777" w:rsidR="009B2C95" w:rsidRPr="00506CA4" w:rsidRDefault="009B2C95" w:rsidP="002305BF">
                      <w:pPr>
                        <w:tabs>
                          <w:tab w:val="left" w:pos="993"/>
                        </w:tabs>
                        <w:spacing w:before="0" w:beforeAutospacing="0" w:after="0" w:afterAutospacing="0"/>
                        <w:ind w:left="284" w:right="272"/>
                        <w:rPr>
                          <w:color w:val="FFFFFF" w:themeColor="background1"/>
                        </w:rPr>
                      </w:pPr>
                    </w:p>
                    <w:p w14:paraId="468B9C75" w14:textId="0C995BF7" w:rsidR="009B2C95" w:rsidRPr="002305BF" w:rsidRDefault="009B2C95" w:rsidP="002305BF">
                      <w:pPr>
                        <w:tabs>
                          <w:tab w:val="left" w:pos="993"/>
                        </w:tabs>
                        <w:spacing w:before="0" w:beforeAutospacing="0" w:after="0" w:afterAutospacing="0"/>
                        <w:ind w:left="284" w:right="272"/>
                        <w:rPr>
                          <w:color w:val="FFFFFF" w:themeColor="background1"/>
                        </w:rPr>
                      </w:pPr>
                      <w:r w:rsidRPr="00506CA4">
                        <w:rPr>
                          <w:color w:val="FFFFFF" w:themeColor="background1"/>
                        </w:rPr>
                        <w:t>Agencies must implement robust ICT disaster recovery and business continuity arrangements if they are to manage service availability risks within public expectations.</w:t>
                      </w:r>
                    </w:p>
                  </w:txbxContent>
                </v:textbox>
                <w10:wrap type="tight"/>
              </v:roundrect>
            </w:pict>
          </mc:Fallback>
        </mc:AlternateContent>
      </w:r>
      <w:r w:rsidR="0015503A">
        <w:t xml:space="preserve">While </w:t>
      </w:r>
      <w:r w:rsidR="00372BEF">
        <w:t xml:space="preserve">agencies </w:t>
      </w:r>
      <w:r w:rsidR="00841669">
        <w:t xml:space="preserve">can outsource a task or service, they can never obviate themselves of the responsibility for ensuring </w:t>
      </w:r>
      <w:r w:rsidR="004349C3">
        <w:t xml:space="preserve">appropriate </w:t>
      </w:r>
      <w:r w:rsidR="00896C5A">
        <w:t>business continuity</w:t>
      </w:r>
      <w:r w:rsidR="00841669">
        <w:t xml:space="preserve"> </w:t>
      </w:r>
      <w:r w:rsidR="004349C3">
        <w:t xml:space="preserve">outcomes </w:t>
      </w:r>
      <w:r w:rsidR="00841669">
        <w:t xml:space="preserve">and </w:t>
      </w:r>
      <w:r w:rsidR="00714DD7">
        <w:t xml:space="preserve">the </w:t>
      </w:r>
      <w:r w:rsidR="00841669">
        <w:t>effective management of risk.</w:t>
      </w:r>
      <w:r w:rsidR="0015503A">
        <w:t xml:space="preserve">  Like all risk management activities, </w:t>
      </w:r>
      <w:r w:rsidR="00476F7C">
        <w:t xml:space="preserve">ICT </w:t>
      </w:r>
      <w:r w:rsidR="0015503A">
        <w:t xml:space="preserve">disaster recovery </w:t>
      </w:r>
      <w:r w:rsidR="00476F7C">
        <w:t xml:space="preserve">must be embedded into existing practices to ensure </w:t>
      </w:r>
      <w:r w:rsidR="00F70F88">
        <w:t xml:space="preserve">the development of internal capability and </w:t>
      </w:r>
      <w:r w:rsidR="00476F7C">
        <w:t xml:space="preserve">continuous improvement – it is not a </w:t>
      </w:r>
      <w:r w:rsidR="002E74DB">
        <w:t xml:space="preserve">project </w:t>
      </w:r>
      <w:r w:rsidR="00476F7C">
        <w:t>that ends with the production of a document.</w:t>
      </w:r>
    </w:p>
    <w:p w14:paraId="65E88D22" w14:textId="313C1057" w:rsidR="000008C4" w:rsidRDefault="00C2598F" w:rsidP="0015503A">
      <w:r>
        <w:t>Where a skills gap is identified, a</w:t>
      </w:r>
      <w:r w:rsidR="000008C4">
        <w:t xml:space="preserve">gencies are strongly encouraged to reach out to their colleagues in other agencies who have experience, skills and capability in this area, and the Office of the GCIO </w:t>
      </w:r>
      <w:r>
        <w:t>is happy to help facilitate these connections</w:t>
      </w:r>
      <w:r w:rsidR="000008C4">
        <w:t xml:space="preserve"> fo</w:t>
      </w:r>
      <w:r>
        <w:t>r agencies who require assistance</w:t>
      </w:r>
      <w:r w:rsidR="00476F7C">
        <w:t>.</w:t>
      </w:r>
    </w:p>
    <w:p w14:paraId="3B465EAB" w14:textId="29EAEFC7" w:rsidR="00C2598F" w:rsidRPr="00F37A9F" w:rsidRDefault="0092071B" w:rsidP="00CF3C41">
      <w:pPr>
        <w:rPr>
          <w:rFonts w:asciiTheme="majorHAnsi" w:eastAsiaTheme="majorEastAsia" w:hAnsiTheme="majorHAnsi" w:cstheme="majorBidi"/>
          <w:szCs w:val="24"/>
        </w:rPr>
      </w:pPr>
      <w:r>
        <w:t xml:space="preserve">Where it is deemed necessary, agencies may wish to engage the services of external risk management or ICT disaster recovery planning specialists to assist them in </w:t>
      </w:r>
      <w:r w:rsidR="00345294">
        <w:t>building the required internal capability, or services such as</w:t>
      </w:r>
      <w:r w:rsidR="005C5436">
        <w:t xml:space="preserve"> </w:t>
      </w:r>
      <w:r>
        <w:t>auditing.  Some r</w:t>
      </w:r>
      <w:r w:rsidRPr="00372BEF">
        <w:t xml:space="preserve">isk management consultancy services can be sourced via the Department of Finance’s Common Use Arrangement </w:t>
      </w:r>
      <w:hyperlink r:id="rId19" w:history="1">
        <w:r>
          <w:rPr>
            <w:rStyle w:val="Hyperlink"/>
          </w:rPr>
          <w:t>CUA2</w:t>
        </w:r>
        <w:r w:rsidRPr="00696320">
          <w:rPr>
            <w:rStyle w:val="Hyperlink"/>
          </w:rPr>
          <w:t>3706 – Audit Services and Financial Advice</w:t>
        </w:r>
      </w:hyperlink>
      <w:r w:rsidRPr="00372BEF">
        <w:t>.</w:t>
      </w:r>
      <w:r>
        <w:t xml:space="preserve">  Suppliers </w:t>
      </w:r>
      <w:r w:rsidR="000008C4" w:rsidRPr="00CE37F2">
        <w:t xml:space="preserve">on </w:t>
      </w:r>
      <w:hyperlink r:id="rId20" w:history="1">
        <w:r w:rsidR="000008C4" w:rsidRPr="00CE37F2">
          <w:rPr>
            <w:rStyle w:val="Hyperlink"/>
          </w:rPr>
          <w:t>CUAICTS2015 – ICT Services</w:t>
        </w:r>
      </w:hyperlink>
      <w:r>
        <w:t xml:space="preserve"> </w:t>
      </w:r>
      <w:r w:rsidR="006E7BE9">
        <w:t xml:space="preserve">may </w:t>
      </w:r>
      <w:r>
        <w:t xml:space="preserve">also </w:t>
      </w:r>
      <w:r w:rsidR="006E7BE9">
        <w:t xml:space="preserve">be </w:t>
      </w:r>
      <w:r>
        <w:t>able to assist agencies in providing ICT governance and disaster recovery servic</w:t>
      </w:r>
      <w:r w:rsidRPr="00991162">
        <w:rPr>
          <w:szCs w:val="24"/>
        </w:rPr>
        <w:t>es and advice.</w:t>
      </w:r>
    </w:p>
    <w:p w14:paraId="42BA29D9" w14:textId="7D2CC31E" w:rsidR="00BB2034" w:rsidRDefault="00476F7C" w:rsidP="00394FB1">
      <w:pPr>
        <w:pStyle w:val="Heading1"/>
      </w:pPr>
      <w:r>
        <w:t xml:space="preserve">Meeting the </w:t>
      </w:r>
      <w:r w:rsidR="00D45B52">
        <w:t>T</w:t>
      </w:r>
      <w:r w:rsidR="0092071B">
        <w:t xml:space="preserve">hree </w:t>
      </w:r>
      <w:r w:rsidR="00D45B52">
        <w:t xml:space="preserve">Requirements </w:t>
      </w:r>
      <w:r w:rsidR="0092071B">
        <w:t>of the Policy</w:t>
      </w:r>
    </w:p>
    <w:p w14:paraId="24545C69" w14:textId="39464744" w:rsidR="0033377E" w:rsidRDefault="00F70F88" w:rsidP="0033377E">
      <w:r>
        <w:t>It is intended that meeting t</w:t>
      </w:r>
      <w:r w:rsidR="003113F1">
        <w:t>he</w:t>
      </w:r>
      <w:r w:rsidR="0033377E">
        <w:t xml:space="preserve"> </w:t>
      </w:r>
      <w:r w:rsidR="003113F1">
        <w:t>r</w:t>
      </w:r>
      <w:r w:rsidR="0033377E">
        <w:t xml:space="preserve">equirements of the </w:t>
      </w:r>
      <w:r>
        <w:t xml:space="preserve">Policy </w:t>
      </w:r>
      <w:r w:rsidR="0033377E">
        <w:t xml:space="preserve">will assist agencies in </w:t>
      </w:r>
      <w:r w:rsidR="00152411">
        <w:t>developing the requisite</w:t>
      </w:r>
      <w:r w:rsidR="0033377E">
        <w:t xml:space="preserve"> </w:t>
      </w:r>
      <w:r>
        <w:t xml:space="preserve">ICT disaster recovery </w:t>
      </w:r>
      <w:r w:rsidR="00152411">
        <w:t>skills and capabilities</w:t>
      </w:r>
      <w:r w:rsidR="0033377E">
        <w:t>.</w:t>
      </w:r>
      <w:r w:rsidR="00476F7C">
        <w:t xml:space="preserve"> </w:t>
      </w:r>
      <w:r w:rsidR="003113F1">
        <w:t xml:space="preserve"> </w:t>
      </w:r>
      <w:r w:rsidR="00345294">
        <w:t>I</w:t>
      </w:r>
      <w:r w:rsidR="00476F7C">
        <w:t xml:space="preserve">t is only </w:t>
      </w:r>
      <w:r w:rsidR="00060390">
        <w:t xml:space="preserve">by </w:t>
      </w:r>
      <w:r w:rsidR="00476F7C">
        <w:t>implementing</w:t>
      </w:r>
      <w:r w:rsidR="00060390">
        <w:t xml:space="preserve"> </w:t>
      </w:r>
      <w:r w:rsidR="00C2598F">
        <w:t>a programmatic</w:t>
      </w:r>
      <w:r w:rsidR="00060390">
        <w:t xml:space="preserve"> approach to </w:t>
      </w:r>
      <w:r w:rsidR="00C2598F">
        <w:t xml:space="preserve">managing </w:t>
      </w:r>
      <w:r w:rsidR="001161E9">
        <w:t xml:space="preserve">risks to </w:t>
      </w:r>
      <w:r w:rsidR="00476F7C">
        <w:t xml:space="preserve">ICT service availability </w:t>
      </w:r>
      <w:r w:rsidR="002B7469">
        <w:t>that</w:t>
      </w:r>
      <w:r w:rsidR="00060390">
        <w:t xml:space="preserve"> an agency </w:t>
      </w:r>
      <w:r w:rsidR="00C2598F">
        <w:t xml:space="preserve">can </w:t>
      </w:r>
      <w:r w:rsidR="00060390">
        <w:t xml:space="preserve">be </w:t>
      </w:r>
      <w:r w:rsidR="0033377E">
        <w:t xml:space="preserve">prepared for </w:t>
      </w:r>
      <w:r w:rsidR="003113F1">
        <w:t>b</w:t>
      </w:r>
      <w:r w:rsidR="0033377E">
        <w:t xml:space="preserve">usiness </w:t>
      </w:r>
      <w:r w:rsidR="003113F1">
        <w:t>c</w:t>
      </w:r>
      <w:r w:rsidR="0033377E">
        <w:t>ontinuity.</w:t>
      </w:r>
    </w:p>
    <w:p w14:paraId="32D2F256" w14:textId="3BA721A9" w:rsidR="009B22FE" w:rsidRPr="00012736" w:rsidRDefault="009B22FE" w:rsidP="009B22FE">
      <w:r>
        <w:t xml:space="preserve">This </w:t>
      </w:r>
      <w:r w:rsidR="00476F7C">
        <w:t xml:space="preserve">guide </w:t>
      </w:r>
      <w:r>
        <w:t xml:space="preserve">contains checklists for each of the </w:t>
      </w:r>
      <w:r w:rsidR="0092071B">
        <w:t>three policy requirements</w:t>
      </w:r>
      <w:r>
        <w:t xml:space="preserve">. </w:t>
      </w:r>
      <w:r w:rsidR="00476F7C">
        <w:t xml:space="preserve"> </w:t>
      </w:r>
      <w:r>
        <w:t xml:space="preserve">These are provided to stimulate thoughtful discussion around the key success factors for </w:t>
      </w:r>
      <w:r w:rsidR="00140DB5">
        <w:t>ICT disaster recovery and broader risk management</w:t>
      </w:r>
      <w:r>
        <w:t xml:space="preserve">, </w:t>
      </w:r>
      <w:r w:rsidR="005C5436">
        <w:t>rather than</w:t>
      </w:r>
      <w:r>
        <w:t xml:space="preserve"> a checklist for compliance with best practice or any particular standard.</w:t>
      </w:r>
    </w:p>
    <w:p w14:paraId="7AE43A87" w14:textId="0E9BE82F" w:rsidR="00462E5E" w:rsidRDefault="00C2598F" w:rsidP="00CE37F2">
      <w:pPr>
        <w:pStyle w:val="Heading1"/>
      </w:pPr>
      <w:r>
        <w:t xml:space="preserve">Requirement One: </w:t>
      </w:r>
      <w:r w:rsidR="00462E5E">
        <w:t>Establish</w:t>
      </w:r>
      <w:r w:rsidR="00336BF0">
        <w:t>ing</w:t>
      </w:r>
      <w:r w:rsidR="00462E5E">
        <w:t xml:space="preserve"> Appropriate Governance</w:t>
      </w:r>
    </w:p>
    <w:p w14:paraId="21E02D45" w14:textId="77777777" w:rsidR="00525829" w:rsidRDefault="0089262E" w:rsidP="004673BC">
      <w:r>
        <w:rPr>
          <w:b/>
          <w:noProof/>
          <w:color w:val="0077C0" w:themeColor="accent6"/>
          <w:lang w:eastAsia="en-AU"/>
        </w:rPr>
        <mc:AlternateContent>
          <mc:Choice Requires="wps">
            <w:drawing>
              <wp:inline distT="0" distB="0" distL="0" distR="0" wp14:anchorId="6F635DDA" wp14:editId="52145680">
                <wp:extent cx="5446395" cy="1249045"/>
                <wp:effectExtent l="0" t="0" r="1905" b="8255"/>
                <wp:docPr id="3" name="Rectangle 3"/>
                <wp:cNvGraphicFramePr/>
                <a:graphic xmlns:a="http://schemas.openxmlformats.org/drawingml/2006/main">
                  <a:graphicData uri="http://schemas.microsoft.com/office/word/2010/wordprocessingShape">
                    <wps:wsp>
                      <wps:cNvSpPr/>
                      <wps:spPr>
                        <a:xfrm>
                          <a:off x="0" y="0"/>
                          <a:ext cx="5446395" cy="1249045"/>
                        </a:xfrm>
                        <a:prstGeom prst="rect">
                          <a:avLst/>
                        </a:prstGeom>
                        <a:solidFill>
                          <a:schemeClr val="tx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DCF2A6" w14:textId="77777777" w:rsidR="0074437E" w:rsidRPr="00CE37F2" w:rsidRDefault="0074437E" w:rsidP="00060390">
                            <w:pPr>
                              <w:rPr>
                                <w:color w:val="003B60" w:themeColor="text2" w:themeShade="80"/>
                              </w:rPr>
                            </w:pPr>
                            <w:r w:rsidRPr="00CE37F2">
                              <w:rPr>
                                <w:color w:val="003B60" w:themeColor="text2" w:themeShade="80"/>
                              </w:rPr>
                              <w:t>Agencies must:</w:t>
                            </w:r>
                          </w:p>
                          <w:p w14:paraId="3255941C" w14:textId="47BC73E0" w:rsidR="0074437E" w:rsidRPr="00CE37F2" w:rsidRDefault="0074437E" w:rsidP="00CE37F2">
                            <w:pPr>
                              <w:pStyle w:val="ListParagraph"/>
                              <w:numPr>
                                <w:ilvl w:val="0"/>
                                <w:numId w:val="27"/>
                              </w:numPr>
                              <w:rPr>
                                <w:color w:val="003B60" w:themeColor="text2" w:themeShade="80"/>
                              </w:rPr>
                            </w:pPr>
                            <w:r w:rsidRPr="00CE37F2">
                              <w:rPr>
                                <w:color w:val="003B60" w:themeColor="text2" w:themeShade="80"/>
                              </w:rPr>
                              <w:t xml:space="preserve">Establish roles and responsibilities for </w:t>
                            </w:r>
                            <w:r>
                              <w:rPr>
                                <w:color w:val="003B60" w:themeColor="text2" w:themeShade="80"/>
                              </w:rPr>
                              <w:t xml:space="preserve">ICT </w:t>
                            </w:r>
                            <w:r w:rsidRPr="00CE37F2">
                              <w:rPr>
                                <w:color w:val="003B60" w:themeColor="text2" w:themeShade="80"/>
                              </w:rPr>
                              <w:t>disaster recovery within the corporate risk management framework; and</w:t>
                            </w:r>
                          </w:p>
                          <w:p w14:paraId="181FCCCB" w14:textId="389B0D14" w:rsidR="0074437E" w:rsidRPr="00CE37F2" w:rsidRDefault="0074437E" w:rsidP="00CE37F2">
                            <w:pPr>
                              <w:pStyle w:val="ListParagraph"/>
                              <w:numPr>
                                <w:ilvl w:val="0"/>
                                <w:numId w:val="27"/>
                              </w:numPr>
                              <w:rPr>
                                <w:color w:val="003B60" w:themeColor="text2" w:themeShade="80"/>
                              </w:rPr>
                            </w:pPr>
                            <w:r w:rsidRPr="00CE37F2">
                              <w:rPr>
                                <w:color w:val="003B60" w:themeColor="text2" w:themeShade="80"/>
                              </w:rPr>
                              <w:t>Ensure ICT disaster recovery management is undertaken within an ICT incident management framework.</w:t>
                            </w:r>
                          </w:p>
                          <w:p w14:paraId="34F50856" w14:textId="77777777" w:rsidR="0074437E" w:rsidRDefault="0074437E" w:rsidP="000603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635DDA" id="Rectangle 3" o:spid="_x0000_s1027" style="width:428.85pt;height:9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" fillcolor="#bfe6ff [669]" stroked="f" strokeweight="1pt">
                <v:textbox>
                  <w:txbxContent>
                    <w:p w14:paraId="37DCF2A6" w14:textId="77777777" w:rsidR="0074437E" w:rsidRPr="00CE37F2" w:rsidRDefault="0074437E" w:rsidP="00060390">
                      <w:pPr>
                        <w:rPr>
                          <w:color w:val="003B60" w:themeColor="text2" w:themeShade="80"/>
                        </w:rPr>
                      </w:pPr>
                      <w:r w:rsidRPr="00CE37F2">
                        <w:rPr>
                          <w:color w:val="003B60" w:themeColor="text2" w:themeShade="80"/>
                        </w:rPr>
                        <w:t>Agencies must:</w:t>
                      </w:r>
                    </w:p>
                    <w:p w14:paraId="3255941C" w14:textId="47BC73E0" w:rsidR="0074437E" w:rsidRPr="00CE37F2" w:rsidRDefault="0074437E" w:rsidP="00CE37F2">
                      <w:pPr>
                        <w:pStyle w:val="ListParagraph"/>
                        <w:numPr>
                          <w:ilvl w:val="0"/>
                          <w:numId w:val="27"/>
                        </w:numPr>
                        <w:rPr>
                          <w:color w:val="003B60" w:themeColor="text2" w:themeShade="80"/>
                        </w:rPr>
                      </w:pPr>
                      <w:r w:rsidRPr="00CE37F2">
                        <w:rPr>
                          <w:color w:val="003B60" w:themeColor="text2" w:themeShade="80"/>
                        </w:rPr>
                        <w:t xml:space="preserve">Establish roles and responsibilities for </w:t>
                      </w:r>
                      <w:r>
                        <w:rPr>
                          <w:color w:val="003B60" w:themeColor="text2" w:themeShade="80"/>
                        </w:rPr>
                        <w:t xml:space="preserve">ICT </w:t>
                      </w:r>
                      <w:r w:rsidRPr="00CE37F2">
                        <w:rPr>
                          <w:color w:val="003B60" w:themeColor="text2" w:themeShade="80"/>
                        </w:rPr>
                        <w:t>disaster recovery within the corporate risk management framework; and</w:t>
                      </w:r>
                    </w:p>
                    <w:p w14:paraId="181FCCCB" w14:textId="389B0D14" w:rsidR="0074437E" w:rsidRPr="00CE37F2" w:rsidRDefault="0074437E" w:rsidP="00CE37F2">
                      <w:pPr>
                        <w:pStyle w:val="ListParagraph"/>
                        <w:numPr>
                          <w:ilvl w:val="0"/>
                          <w:numId w:val="27"/>
                        </w:numPr>
                        <w:rPr>
                          <w:color w:val="003B60" w:themeColor="text2" w:themeShade="80"/>
                        </w:rPr>
                      </w:pPr>
                      <w:r w:rsidRPr="00CE37F2">
                        <w:rPr>
                          <w:color w:val="003B60" w:themeColor="text2" w:themeShade="80"/>
                        </w:rPr>
                        <w:t>Ensure ICT disaster recovery management is undertaken within an ICT incident management framework.</w:t>
                      </w:r>
                    </w:p>
                    <w:p w14:paraId="34F50856" w14:textId="77777777" w:rsidR="0074437E" w:rsidRDefault="0074437E" w:rsidP="00060390">
                      <w:pPr>
                        <w:jc w:val="center"/>
                      </w:pPr>
                    </w:p>
                  </w:txbxContent>
                </v:textbox>
                <w10:anchorlock/>
              </v:rect>
            </w:pict>
          </mc:Fallback>
        </mc:AlternateContent>
      </w:r>
    </w:p>
    <w:p w14:paraId="6F50AA55" w14:textId="225494E0" w:rsidR="004673BC" w:rsidRDefault="004673BC" w:rsidP="004673BC">
      <w:r>
        <w:t>The intent of this requirement is to ensure that:</w:t>
      </w:r>
    </w:p>
    <w:p w14:paraId="04A36635" w14:textId="3036A4C4" w:rsidR="004673BC" w:rsidRDefault="000E259E" w:rsidP="004673BC">
      <w:pPr>
        <w:pStyle w:val="ListParagraph"/>
        <w:numPr>
          <w:ilvl w:val="0"/>
          <w:numId w:val="25"/>
        </w:numPr>
      </w:pPr>
      <w:r>
        <w:t>R</w:t>
      </w:r>
      <w:r w:rsidR="004673BC">
        <w:t xml:space="preserve">isks related to ICT disaster recovery are visible to those with </w:t>
      </w:r>
      <w:r>
        <w:t>accountability</w:t>
      </w:r>
      <w:r w:rsidR="004673BC">
        <w:t xml:space="preserve"> for managing agency risks; and</w:t>
      </w:r>
    </w:p>
    <w:p w14:paraId="0B94C551" w14:textId="25A451AC" w:rsidR="004673BC" w:rsidRDefault="000E259E" w:rsidP="004673BC">
      <w:pPr>
        <w:pStyle w:val="ListParagraph"/>
        <w:numPr>
          <w:ilvl w:val="0"/>
          <w:numId w:val="25"/>
        </w:numPr>
      </w:pPr>
      <w:r>
        <w:t>R</w:t>
      </w:r>
      <w:r w:rsidR="004673BC">
        <w:t>oles and responsibilities for ICT disaster recovery</w:t>
      </w:r>
      <w:r>
        <w:t xml:space="preserve"> (including incident identification and escalation)</w:t>
      </w:r>
      <w:r w:rsidR="004673BC">
        <w:t xml:space="preserve"> are established.</w:t>
      </w:r>
    </w:p>
    <w:p w14:paraId="65626188" w14:textId="192CA493" w:rsidR="004673BC" w:rsidRDefault="004673BC" w:rsidP="004673BC">
      <w:pPr>
        <w:pStyle w:val="Heading2"/>
      </w:pPr>
      <w:r>
        <w:t xml:space="preserve">The </w:t>
      </w:r>
      <w:r w:rsidR="00283624">
        <w:t>C</w:t>
      </w:r>
      <w:r>
        <w:t xml:space="preserve">orporate </w:t>
      </w:r>
      <w:r w:rsidR="00D45B52">
        <w:t>Risk Management Framework</w:t>
      </w:r>
    </w:p>
    <w:p w14:paraId="0A448596" w14:textId="617B0141" w:rsidR="004673BC" w:rsidRDefault="004673BC" w:rsidP="004673BC">
      <w:r>
        <w:t xml:space="preserve">Agencies </w:t>
      </w:r>
      <w:r w:rsidR="000E259E">
        <w:t xml:space="preserve">should </w:t>
      </w:r>
      <w:r>
        <w:t>have some form of risk management structure in order to meet their risk management obligations</w:t>
      </w:r>
      <w:r w:rsidR="000E259E">
        <w:t xml:space="preserve">, as detailed in the Policy </w:t>
      </w:r>
      <w:r w:rsidR="000E259E" w:rsidRPr="000C7FC1">
        <w:t xml:space="preserve">at </w:t>
      </w:r>
      <w:r w:rsidR="000E259E" w:rsidRPr="000C7FC1">
        <w:rPr>
          <w:i/>
        </w:rPr>
        <w:t>Section 6: Relevant Policy Obligations.</w:t>
      </w:r>
      <w:r w:rsidRPr="000C7FC1">
        <w:t xml:space="preserve">  As ICT disaster recovery is primarily a risk management activity, </w:t>
      </w:r>
      <w:r w:rsidR="000E259E" w:rsidRPr="000C7FC1">
        <w:t>it</w:t>
      </w:r>
      <w:r w:rsidR="00BB5CB7">
        <w:t xml:space="preserve"> </w:t>
      </w:r>
      <w:r w:rsidRPr="000C7FC1">
        <w:t xml:space="preserve">should be linked to </w:t>
      </w:r>
      <w:r w:rsidR="00BB5CB7">
        <w:t>organisational</w:t>
      </w:r>
      <w:r w:rsidR="0066715E">
        <w:t xml:space="preserve"> risk management arrangements and governance</w:t>
      </w:r>
      <w:r>
        <w:t>.</w:t>
      </w:r>
    </w:p>
    <w:p w14:paraId="01C5838B" w14:textId="1207B5F1" w:rsidR="004673BC" w:rsidRDefault="00F37A9F" w:rsidP="004673BC">
      <w:r>
        <w:t>An agency’s</w:t>
      </w:r>
      <w:r w:rsidR="004673BC">
        <w:t xml:space="preserve"> risk management </w:t>
      </w:r>
      <w:r w:rsidR="00E65107">
        <w:t>arrangements are</w:t>
      </w:r>
      <w:r w:rsidR="004673BC">
        <w:t xml:space="preserve"> a natural starting point for assigning roles and responsibilities relating to the management of ICT disaster recovery risks.  This </w:t>
      </w:r>
      <w:r w:rsidR="000E259E">
        <w:t xml:space="preserve">will </w:t>
      </w:r>
      <w:r w:rsidR="00E65107">
        <w:t xml:space="preserve">also </w:t>
      </w:r>
      <w:r w:rsidR="000E259E">
        <w:t>assist</w:t>
      </w:r>
      <w:r w:rsidR="004673BC">
        <w:t xml:space="preserve"> in creating a proper link to an agency’s business continuity planning arrangements.</w:t>
      </w:r>
    </w:p>
    <w:p w14:paraId="115419E1" w14:textId="77777777" w:rsidR="004673BC" w:rsidRDefault="004673BC" w:rsidP="00CF3C41">
      <w:pPr>
        <w:keepNext/>
      </w:pPr>
      <w:r>
        <w:t>Roles and responsibilities for ICT disaster recovery may include such key tasks as:</w:t>
      </w:r>
    </w:p>
    <w:p w14:paraId="41F88B1B" w14:textId="4CDB9240" w:rsidR="00E65107" w:rsidRDefault="004673BC" w:rsidP="00CF3C41">
      <w:pPr>
        <w:pStyle w:val="ListParagraph"/>
        <w:keepNext/>
        <w:numPr>
          <w:ilvl w:val="0"/>
          <w:numId w:val="30"/>
        </w:numPr>
      </w:pPr>
      <w:r>
        <w:t>Developing</w:t>
      </w:r>
      <w:r w:rsidR="00E65107">
        <w:t xml:space="preserve"> whole-of-organisation ICT disaster recovery plans</w:t>
      </w:r>
      <w:r w:rsidR="00283624">
        <w:t>;</w:t>
      </w:r>
    </w:p>
    <w:p w14:paraId="39D1A9D1" w14:textId="2FE0FBFE" w:rsidR="004673BC" w:rsidRDefault="00E65107" w:rsidP="00CF3C41">
      <w:pPr>
        <w:pStyle w:val="ListParagraph"/>
        <w:keepNext/>
        <w:numPr>
          <w:ilvl w:val="0"/>
          <w:numId w:val="30"/>
        </w:numPr>
      </w:pPr>
      <w:r>
        <w:t>I</w:t>
      </w:r>
      <w:r w:rsidR="004673BC">
        <w:t>mplementing and testing system-level ICT disaster recovery;</w:t>
      </w:r>
    </w:p>
    <w:p w14:paraId="1A823155" w14:textId="48FAAB5B" w:rsidR="00283624" w:rsidRDefault="00283624" w:rsidP="00CF3C41">
      <w:pPr>
        <w:pStyle w:val="ListParagraph"/>
        <w:keepNext/>
        <w:numPr>
          <w:ilvl w:val="0"/>
          <w:numId w:val="30"/>
        </w:numPr>
      </w:pPr>
      <w:r>
        <w:t>Coordination with business continuity planning;</w:t>
      </w:r>
    </w:p>
    <w:p w14:paraId="3B6C88F9" w14:textId="77777777" w:rsidR="004673BC" w:rsidRDefault="004673BC" w:rsidP="00CF3C41">
      <w:pPr>
        <w:pStyle w:val="ListParagraph"/>
        <w:keepNext/>
        <w:numPr>
          <w:ilvl w:val="0"/>
          <w:numId w:val="30"/>
        </w:numPr>
      </w:pPr>
      <w:r>
        <w:t>Triggering ICT disaster recovery plans; and</w:t>
      </w:r>
    </w:p>
    <w:p w14:paraId="4DCF8E53" w14:textId="6FAC777A" w:rsidR="004673BC" w:rsidRDefault="004673BC" w:rsidP="00CF3C41">
      <w:pPr>
        <w:pStyle w:val="ListParagraph"/>
        <w:keepNext/>
        <w:numPr>
          <w:ilvl w:val="0"/>
          <w:numId w:val="30"/>
        </w:numPr>
      </w:pPr>
      <w:r>
        <w:t>Reporting to the agency risk management body</w:t>
      </w:r>
      <w:r w:rsidR="000E259E">
        <w:t xml:space="preserve"> on the outcomes of testing</w:t>
      </w:r>
      <w:r>
        <w:t>.</w:t>
      </w:r>
    </w:p>
    <w:p w14:paraId="12D2A691" w14:textId="490F8F18" w:rsidR="00B87FD7" w:rsidRDefault="004673BC" w:rsidP="00AE2680">
      <w:r>
        <w:t xml:space="preserve">These are suggested roles only.  </w:t>
      </w:r>
      <w:r w:rsidR="0066715E">
        <w:t>The key desired outcome of allocating roles is proper governance and accountability.</w:t>
      </w:r>
    </w:p>
    <w:p w14:paraId="0218093C" w14:textId="054E90AE" w:rsidR="00AE2680" w:rsidRPr="00CE37F2" w:rsidRDefault="00AE2680" w:rsidP="00AE2680">
      <w:r w:rsidRPr="00CE37F2">
        <w:t>Proper governance can provide accountable authorities, business service owners and ICT practitioners with confidence that an appropriate ICT disaster recovery capability exists, and that this capability is aligned with the requirements of core business service delivery.</w:t>
      </w:r>
      <w:r>
        <w:t xml:space="preserve">  </w:t>
      </w:r>
      <w:r w:rsidRPr="00CE37F2">
        <w:t>It can also assist agencies in identifying and minimising the likelihood of disruptions impa</w:t>
      </w:r>
      <w:r w:rsidR="00345294">
        <w:t>cting business functions, and</w:t>
      </w:r>
      <w:r w:rsidRPr="00CE37F2">
        <w:t xml:space="preserve"> ensure integrated responses from both the business and ICT areas in the event of disruptions occurring.</w:t>
      </w:r>
    </w:p>
    <w:p w14:paraId="7AF09A56" w14:textId="77777777" w:rsidR="004673BC" w:rsidRDefault="0066715E" w:rsidP="00BB389F">
      <w:pPr>
        <w:keepNext/>
      </w:pPr>
      <w:r>
        <w:t xml:space="preserve">In </w:t>
      </w:r>
      <w:r w:rsidR="000E259E">
        <w:t>developing and assigning roles, agencies</w:t>
      </w:r>
      <w:r w:rsidR="004673BC">
        <w:t xml:space="preserve"> should</w:t>
      </w:r>
      <w:r w:rsidR="000E259E">
        <w:t xml:space="preserve"> ensure that any roles:</w:t>
      </w:r>
    </w:p>
    <w:p w14:paraId="5ADABC43" w14:textId="2372F2DD" w:rsidR="004673BC" w:rsidRDefault="000E259E" w:rsidP="00BB389F">
      <w:pPr>
        <w:pStyle w:val="ListParagraph"/>
        <w:keepNext/>
        <w:numPr>
          <w:ilvl w:val="0"/>
          <w:numId w:val="31"/>
        </w:numPr>
      </w:pPr>
      <w:r>
        <w:t>Are</w:t>
      </w:r>
      <w:r w:rsidR="004673BC">
        <w:t xml:space="preserve"> relevant to an agency’s risk management practices</w:t>
      </w:r>
      <w:r w:rsidR="0066715E">
        <w:t xml:space="preserve"> and </w:t>
      </w:r>
      <w:r w:rsidR="004673BC">
        <w:t>business arrangements;</w:t>
      </w:r>
    </w:p>
    <w:p w14:paraId="4C5BF647" w14:textId="676FAEAF" w:rsidR="008C6DF0" w:rsidRDefault="008C6DF0" w:rsidP="008C6DF0">
      <w:pPr>
        <w:pStyle w:val="ListParagraph"/>
        <w:numPr>
          <w:ilvl w:val="0"/>
          <w:numId w:val="31"/>
        </w:numPr>
      </w:pPr>
      <w:r>
        <w:t>Support business-ICT alignment and engagement with agency executives;</w:t>
      </w:r>
    </w:p>
    <w:p w14:paraId="7C4384A8" w14:textId="334A439E" w:rsidR="002305BF" w:rsidRDefault="002305BF" w:rsidP="004673BC">
      <w:pPr>
        <w:pStyle w:val="ListParagraph"/>
        <w:numPr>
          <w:ilvl w:val="0"/>
          <w:numId w:val="31"/>
        </w:numPr>
      </w:pPr>
      <w:r>
        <w:t>Ensure the appropriate response in the event of an outage;</w:t>
      </w:r>
    </w:p>
    <w:p w14:paraId="14753B45" w14:textId="0A627B20" w:rsidR="004673BC" w:rsidRDefault="00BB0294" w:rsidP="004673BC">
      <w:pPr>
        <w:pStyle w:val="ListParagraph"/>
        <w:numPr>
          <w:ilvl w:val="0"/>
          <w:numId w:val="31"/>
        </w:numPr>
      </w:pPr>
      <w:r>
        <w:t>A</w:t>
      </w:r>
      <w:r w:rsidR="004673BC">
        <w:t>ssign</w:t>
      </w:r>
      <w:r>
        <w:t xml:space="preserve"> risks</w:t>
      </w:r>
      <w:r w:rsidR="004673BC">
        <w:t xml:space="preserve"> to those who are best able to </w:t>
      </w:r>
      <w:r w:rsidR="0066715E">
        <w:t xml:space="preserve">monitor and </w:t>
      </w:r>
      <w:r w:rsidR="004673BC">
        <w:t>treat them; and</w:t>
      </w:r>
    </w:p>
    <w:p w14:paraId="706F933D" w14:textId="6EC9C1AF" w:rsidR="004673BC" w:rsidRDefault="00BB0294" w:rsidP="004673BC">
      <w:pPr>
        <w:pStyle w:val="ListParagraph"/>
        <w:numPr>
          <w:ilvl w:val="0"/>
          <w:numId w:val="31"/>
        </w:numPr>
      </w:pPr>
      <w:r>
        <w:t xml:space="preserve">Report </w:t>
      </w:r>
      <w:r w:rsidR="004673BC">
        <w:t xml:space="preserve">risks relating to the unavailability of ICT services </w:t>
      </w:r>
      <w:r w:rsidR="001426F9">
        <w:t xml:space="preserve">to </w:t>
      </w:r>
      <w:r w:rsidR="004673BC">
        <w:t>the risk management body.</w:t>
      </w:r>
    </w:p>
    <w:p w14:paraId="4498BFAC" w14:textId="5828CECC" w:rsidR="000E259E" w:rsidRDefault="000E259E" w:rsidP="004673BC">
      <w:r>
        <w:t xml:space="preserve">Roles should be </w:t>
      </w:r>
      <w:r w:rsidR="008F3F20">
        <w:t xml:space="preserve">built around agency services, and </w:t>
      </w:r>
      <w:r>
        <w:t>infor</w:t>
      </w:r>
      <w:r w:rsidR="008F3F20">
        <w:t xml:space="preserve">med by Business Impact Analysis, which is discussed further </w:t>
      </w:r>
      <w:r w:rsidR="000C7FC1">
        <w:t>in this guide</w:t>
      </w:r>
      <w:r w:rsidR="008F3F20">
        <w:t>.</w:t>
      </w:r>
      <w:r w:rsidR="00AE2680">
        <w:t xml:space="preserve">  An individual or group must have responsibility for ensuring that disaster recovery skills, documentation and capabilities are up to date and coordinated within the agency’s broader risk management approach.</w:t>
      </w:r>
      <w:r w:rsidR="00B87FD7">
        <w:t xml:space="preserve"> </w:t>
      </w:r>
      <w:r w:rsidR="00345294">
        <w:t>Assigned</w:t>
      </w:r>
      <w:r w:rsidR="00B87FD7">
        <w:t xml:space="preserve"> </w:t>
      </w:r>
      <w:r w:rsidR="00345294">
        <w:t>r</w:t>
      </w:r>
      <w:r w:rsidR="00B87FD7">
        <w:t xml:space="preserve">oles </w:t>
      </w:r>
      <w:r w:rsidR="001161E9">
        <w:t>should</w:t>
      </w:r>
      <w:r w:rsidR="00B87FD7">
        <w:t xml:space="preserve"> distinguish between the strategic responsibilities for approving</w:t>
      </w:r>
      <w:r w:rsidR="001161E9">
        <w:t>,</w:t>
      </w:r>
      <w:r w:rsidR="00B87FD7">
        <w:t xml:space="preserve"> and operational responsibilities for conducting or implementing.</w:t>
      </w:r>
    </w:p>
    <w:p w14:paraId="25A253E9" w14:textId="5D97B306" w:rsidR="005C5436" w:rsidRDefault="005C5436" w:rsidP="005C5436">
      <w:pPr>
        <w:pStyle w:val="Heading2"/>
      </w:pPr>
      <w:r>
        <w:t>Business</w:t>
      </w:r>
      <w:r w:rsidR="00D45B52">
        <w:t>-Driven Planning</w:t>
      </w:r>
    </w:p>
    <w:p w14:paraId="10237A96" w14:textId="24DF2E77" w:rsidR="004673BC" w:rsidRDefault="004673BC" w:rsidP="004673BC">
      <w:r>
        <w:t xml:space="preserve">By ensuring </w:t>
      </w:r>
      <w:r w:rsidR="00C2598F">
        <w:t xml:space="preserve">the </w:t>
      </w:r>
      <w:r>
        <w:t>oversight of the peak risk management body, agency executives and business service owners can make informed decisions regarding ICT disaster recovery and the appropriate level of priority and investment</w:t>
      </w:r>
      <w:r w:rsidR="00AE2680">
        <w:t xml:space="preserve">.  </w:t>
      </w:r>
      <w:r>
        <w:t xml:space="preserve">It is important to recognise that appropriate </w:t>
      </w:r>
      <w:r w:rsidR="00345294">
        <w:t xml:space="preserve">ICT </w:t>
      </w:r>
      <w:r>
        <w:t>disaster recovery outcomes are dependent upon</w:t>
      </w:r>
      <w:r w:rsidRPr="000E2CC7">
        <w:t xml:space="preserve"> commitment and planning that involves senior man</w:t>
      </w:r>
      <w:r>
        <w:t>agement, ICT practitioners and business service owners</w:t>
      </w:r>
      <w:r w:rsidR="00C2598F">
        <w:t>.</w:t>
      </w:r>
    </w:p>
    <w:p w14:paraId="12703FEE" w14:textId="5D622033" w:rsidR="00345294" w:rsidRDefault="00345294">
      <w:pPr>
        <w:spacing w:before="0" w:beforeAutospacing="0" w:after="160" w:afterAutospacing="0" w:line="259" w:lineRule="auto"/>
        <w:jc w:val="left"/>
      </w:pPr>
      <w:r>
        <w:br w:type="page"/>
      </w:r>
    </w:p>
    <w:p w14:paraId="3C2288BC" w14:textId="15164560" w:rsidR="004673BC" w:rsidRDefault="002B7469" w:rsidP="004673BC">
      <w:pPr>
        <w:keepNext/>
      </w:pPr>
      <w:r>
        <w:t xml:space="preserve">A multidisciplinary approach is required to ensure these outcomes.  </w:t>
      </w:r>
      <w:r w:rsidR="004673BC">
        <w:t>For example:</w:t>
      </w:r>
    </w:p>
    <w:p w14:paraId="13E46FA3" w14:textId="6A08E52E" w:rsidR="004673BC" w:rsidRDefault="004673BC" w:rsidP="004673BC">
      <w:pPr>
        <w:pStyle w:val="ListParagraph"/>
        <w:keepNext/>
        <w:numPr>
          <w:ilvl w:val="0"/>
          <w:numId w:val="18"/>
        </w:numPr>
      </w:pPr>
      <w:r>
        <w:t xml:space="preserve">Business people must be involved in ICT disaster recovery planning </w:t>
      </w:r>
      <w:r w:rsidR="00F651C4">
        <w:t>to ensure</w:t>
      </w:r>
      <w:r>
        <w:t xml:space="preserve"> decisions are based upon </w:t>
      </w:r>
      <w:r w:rsidR="005042CE">
        <w:t xml:space="preserve">the </w:t>
      </w:r>
      <w:r w:rsidR="001161E9">
        <w:t xml:space="preserve">needs </w:t>
      </w:r>
      <w:r w:rsidR="005042CE">
        <w:t>of the agency and the public</w:t>
      </w:r>
      <w:r>
        <w:t xml:space="preserve">.  Business service owners should be responsible for decisions concerning how long </w:t>
      </w:r>
      <w:r w:rsidR="00F651C4">
        <w:t xml:space="preserve">their business </w:t>
      </w:r>
      <w:r>
        <w:t xml:space="preserve">can </w:t>
      </w:r>
      <w:r w:rsidR="00F651C4">
        <w:t>acceptably tolerate</w:t>
      </w:r>
      <w:r>
        <w:t xml:space="preserve"> </w:t>
      </w:r>
      <w:r w:rsidR="00F651C4">
        <w:t>downtime</w:t>
      </w:r>
      <w:r>
        <w:t>.</w:t>
      </w:r>
    </w:p>
    <w:p w14:paraId="3D9B83CD" w14:textId="36932506" w:rsidR="004673BC" w:rsidRDefault="004673BC" w:rsidP="004673BC">
      <w:pPr>
        <w:pStyle w:val="ListParagraph"/>
        <w:keepNext/>
        <w:numPr>
          <w:ilvl w:val="0"/>
          <w:numId w:val="18"/>
        </w:numPr>
      </w:pPr>
      <w:r>
        <w:t xml:space="preserve">In the event of a </w:t>
      </w:r>
      <w:r w:rsidR="009F46C9">
        <w:t>disruption</w:t>
      </w:r>
      <w:r>
        <w:t xml:space="preserve">, all areas of a business should know how to respond – not just ICT staff.  </w:t>
      </w:r>
      <w:r w:rsidR="001426F9">
        <w:t xml:space="preserve">Staff must know how to </w:t>
      </w:r>
      <w:r>
        <w:t>continue their business if ICT systems cannot be restored</w:t>
      </w:r>
      <w:r w:rsidR="001426F9">
        <w:t>.</w:t>
      </w:r>
    </w:p>
    <w:p w14:paraId="098043B4" w14:textId="5A2C0F77" w:rsidR="00F651C4" w:rsidRPr="00CE37F2" w:rsidRDefault="00F651C4" w:rsidP="00CE37F2">
      <w:r w:rsidRPr="00CE37F2">
        <w:t xml:space="preserve">Most importantly, </w:t>
      </w:r>
      <w:r w:rsidR="002B7FC3">
        <w:t>a multidisciplinary</w:t>
      </w:r>
      <w:r w:rsidRPr="00CE37F2">
        <w:t xml:space="preserve"> </w:t>
      </w:r>
      <w:r w:rsidR="002B7FC3">
        <w:t>team</w:t>
      </w:r>
      <w:r w:rsidR="002B7FC3" w:rsidRPr="00CE37F2">
        <w:t xml:space="preserve"> </w:t>
      </w:r>
      <w:r w:rsidR="002B7FC3">
        <w:t>supports</w:t>
      </w:r>
      <w:r w:rsidR="002B7FC3" w:rsidRPr="00CE37F2">
        <w:t xml:space="preserve"> </w:t>
      </w:r>
      <w:r w:rsidRPr="00CE37F2">
        <w:t xml:space="preserve">an integrated approach to organisational resilience that maximises an agency’s capacity to continue business function in the event of a disruption.  It is good practice for agency business service owners and risk managers to have a good understanding of the risks they are exposed to resulting from the unavailability of ICT services, and of how the availability of ICT systems will be maintained to an appropriate level in the event of a </w:t>
      </w:r>
      <w:r w:rsidR="009F46C9">
        <w:t>disruption</w:t>
      </w:r>
      <w:r w:rsidRPr="00CE37F2">
        <w:t>.</w:t>
      </w:r>
    </w:p>
    <w:p w14:paraId="121C232C" w14:textId="77777777" w:rsidR="004673BC" w:rsidRDefault="004673BC" w:rsidP="004673BC">
      <w:r>
        <w:t>While the Policy only focuses on ICT disaster recovery requirements, agencies are strongly encouraged to link their ICT disaster recovery activities to broader business continuity management.</w:t>
      </w:r>
    </w:p>
    <w:p w14:paraId="5C7DFE56" w14:textId="3D6F4DDF" w:rsidR="004673BC" w:rsidRDefault="004673BC" w:rsidP="004673BC">
      <w:pPr>
        <w:pStyle w:val="Heading2"/>
      </w:pPr>
      <w:r>
        <w:t xml:space="preserve">ICT </w:t>
      </w:r>
      <w:r w:rsidR="00D45B52">
        <w:t>Incident Management</w:t>
      </w:r>
    </w:p>
    <w:p w14:paraId="64B70161" w14:textId="3D2A16F0" w:rsidR="0089262E" w:rsidRDefault="004673BC" w:rsidP="00CE37F2">
      <w:r>
        <w:t xml:space="preserve">Agencies must </w:t>
      </w:r>
      <w:r w:rsidR="0089262E">
        <w:t>e</w:t>
      </w:r>
      <w:r w:rsidR="0089262E" w:rsidRPr="0089262E">
        <w:t>nsure ICT disaster recovery management is undertaken within an ICT incident management framework</w:t>
      </w:r>
      <w:r w:rsidR="0089262E">
        <w:t>.</w:t>
      </w:r>
      <w:r w:rsidR="0089262E" w:rsidRPr="0089262E">
        <w:t xml:space="preserve"> </w:t>
      </w:r>
      <w:r w:rsidR="0089262E">
        <w:t xml:space="preserve"> That is, agencies </w:t>
      </w:r>
      <w:r>
        <w:t xml:space="preserve">have a </w:t>
      </w:r>
      <w:r w:rsidR="0089262E">
        <w:t xml:space="preserve">capability and a </w:t>
      </w:r>
      <w:r>
        <w:t>proc</w:t>
      </w:r>
      <w:r w:rsidR="0089262E">
        <w:t>ess for identifying and escalating</w:t>
      </w:r>
      <w:r>
        <w:t xml:space="preserve"> incidents of a severity that require an ICT disaster recovery response.  The key outcome for this requirement is that agencies will </w:t>
      </w:r>
      <w:r w:rsidR="0089262E">
        <w:t xml:space="preserve">ensure that there is a process for identifying incidents which may, or already have, become </w:t>
      </w:r>
      <w:r w:rsidR="009F46C9">
        <w:t>a disruption,</w:t>
      </w:r>
      <w:r w:rsidR="0089262E">
        <w:t xml:space="preserve"> warranting the triggering of the ICT disaster recovery response.</w:t>
      </w:r>
    </w:p>
    <w:p w14:paraId="467077F2" w14:textId="5855D110" w:rsidR="000E259E" w:rsidRDefault="0089262E" w:rsidP="004673BC">
      <w:r>
        <w:t xml:space="preserve">Without a formal process, an </w:t>
      </w:r>
      <w:r w:rsidR="00683008">
        <w:t xml:space="preserve">agency’s </w:t>
      </w:r>
      <w:r w:rsidR="000C7FC1">
        <w:t>response to a</w:t>
      </w:r>
      <w:r>
        <w:t xml:space="preserve"> </w:t>
      </w:r>
      <w:r w:rsidR="009F46C9">
        <w:t>disruption</w:t>
      </w:r>
      <w:r>
        <w:t xml:space="preserve"> can only be undertaken on an </w:t>
      </w:r>
      <w:r w:rsidRPr="00CE37F2">
        <w:rPr>
          <w:i/>
        </w:rPr>
        <w:t>ad-hoc</w:t>
      </w:r>
      <w:r>
        <w:t xml:space="preserve"> basis, slowing down the recovery process and creating difficulties for root cause analysis.</w:t>
      </w:r>
    </w:p>
    <w:p w14:paraId="6F7ED989" w14:textId="77777777" w:rsidR="004673BC" w:rsidRPr="002510E7" w:rsidRDefault="004673BC" w:rsidP="001B52AF">
      <w:pPr>
        <w:rPr>
          <w:rStyle w:val="Strong"/>
        </w:rPr>
      </w:pPr>
      <w:r w:rsidRPr="002510E7">
        <w:rPr>
          <w:rStyle w:val="Strong"/>
        </w:rPr>
        <w:t>Checklist</w:t>
      </w:r>
    </w:p>
    <w:p w14:paraId="706C3CC0" w14:textId="673D2CE7" w:rsidR="004673BC" w:rsidRDefault="004673BC" w:rsidP="001B52AF">
      <w:pPr>
        <w:pStyle w:val="ListParagraph"/>
        <w:numPr>
          <w:ilvl w:val="0"/>
          <w:numId w:val="26"/>
        </w:numPr>
        <w:rPr>
          <w:rStyle w:val="Strong"/>
        </w:rPr>
      </w:pPr>
      <w:r>
        <w:rPr>
          <w:rStyle w:val="Strong"/>
        </w:rPr>
        <w:t>Business service owners are aware of the risks posed by the unavailability of ICT systems</w:t>
      </w:r>
      <w:r w:rsidR="0089262E">
        <w:rPr>
          <w:rStyle w:val="Strong"/>
        </w:rPr>
        <w:t>.</w:t>
      </w:r>
    </w:p>
    <w:p w14:paraId="1C644A77" w14:textId="045785C5" w:rsidR="00835C02" w:rsidRDefault="00835C02" w:rsidP="001B52AF">
      <w:pPr>
        <w:pStyle w:val="ListParagraph"/>
        <w:numPr>
          <w:ilvl w:val="0"/>
          <w:numId w:val="26"/>
        </w:numPr>
        <w:rPr>
          <w:rStyle w:val="Strong"/>
        </w:rPr>
      </w:pPr>
      <w:r>
        <w:rPr>
          <w:rStyle w:val="Strong"/>
        </w:rPr>
        <w:t xml:space="preserve">Roles and responsibilities for disaster recovery </w:t>
      </w:r>
      <w:r w:rsidR="001161E9">
        <w:rPr>
          <w:rStyle w:val="Strong"/>
        </w:rPr>
        <w:t>have been</w:t>
      </w:r>
      <w:r>
        <w:rPr>
          <w:rStyle w:val="Strong"/>
        </w:rPr>
        <w:t xml:space="preserve"> approved by the agency’s corporate risk management body.</w:t>
      </w:r>
    </w:p>
    <w:p w14:paraId="62432709" w14:textId="3C5213E7" w:rsidR="004673BC" w:rsidRDefault="004673BC" w:rsidP="001B52AF">
      <w:pPr>
        <w:pStyle w:val="ListParagraph"/>
        <w:numPr>
          <w:ilvl w:val="0"/>
          <w:numId w:val="26"/>
        </w:numPr>
        <w:rPr>
          <w:rStyle w:val="Strong"/>
        </w:rPr>
      </w:pPr>
      <w:r>
        <w:rPr>
          <w:rStyle w:val="Strong"/>
        </w:rPr>
        <w:t>The agency risk register include</w:t>
      </w:r>
      <w:r w:rsidR="001B52AF">
        <w:rPr>
          <w:rStyle w:val="Strong"/>
        </w:rPr>
        <w:t>s</w:t>
      </w:r>
      <w:r>
        <w:rPr>
          <w:rStyle w:val="Strong"/>
        </w:rPr>
        <w:t xml:space="preserve"> risks relating to the unavailability of ICT systems.</w:t>
      </w:r>
    </w:p>
    <w:p w14:paraId="5E5BA953" w14:textId="77777777" w:rsidR="004673BC" w:rsidRPr="002510E7" w:rsidRDefault="004673BC" w:rsidP="001B52AF">
      <w:pPr>
        <w:pStyle w:val="ListParagraph"/>
        <w:numPr>
          <w:ilvl w:val="0"/>
          <w:numId w:val="26"/>
        </w:numPr>
        <w:rPr>
          <w:rStyle w:val="Strong"/>
        </w:rPr>
      </w:pPr>
      <w:r>
        <w:rPr>
          <w:rStyle w:val="Strong"/>
        </w:rPr>
        <w:t>Risk owners are confident that the treatment options specified can meet their stated capability.</w:t>
      </w:r>
    </w:p>
    <w:p w14:paraId="102B32F6" w14:textId="6E75E7FF" w:rsidR="004673BC" w:rsidRDefault="004673BC" w:rsidP="001B52AF">
      <w:pPr>
        <w:pStyle w:val="ListParagraph"/>
        <w:numPr>
          <w:ilvl w:val="0"/>
          <w:numId w:val="26"/>
        </w:numPr>
        <w:rPr>
          <w:rStyle w:val="Strong"/>
        </w:rPr>
      </w:pPr>
      <w:r>
        <w:rPr>
          <w:rStyle w:val="Strong"/>
        </w:rPr>
        <w:t xml:space="preserve">The agency has </w:t>
      </w:r>
      <w:r w:rsidR="00A773B5">
        <w:rPr>
          <w:rStyle w:val="Strong"/>
        </w:rPr>
        <w:t>arrangements for</w:t>
      </w:r>
      <w:r w:rsidR="001B52AF">
        <w:rPr>
          <w:rStyle w:val="Strong"/>
        </w:rPr>
        <w:t xml:space="preserve"> whole-of-business b</w:t>
      </w:r>
      <w:r>
        <w:rPr>
          <w:rStyle w:val="Strong"/>
        </w:rPr>
        <w:t xml:space="preserve">usiness </w:t>
      </w:r>
      <w:r w:rsidR="001B52AF">
        <w:rPr>
          <w:rStyle w:val="Strong"/>
        </w:rPr>
        <w:t>c</w:t>
      </w:r>
      <w:r>
        <w:rPr>
          <w:rStyle w:val="Strong"/>
        </w:rPr>
        <w:t xml:space="preserve">ontinuity </w:t>
      </w:r>
      <w:r w:rsidR="00A773B5">
        <w:rPr>
          <w:rStyle w:val="Strong"/>
        </w:rPr>
        <w:t>that provide for service continuity during ICT system recovery.</w:t>
      </w:r>
    </w:p>
    <w:p w14:paraId="330C0C6D" w14:textId="69961389" w:rsidR="00B87FD7" w:rsidRPr="002510E7" w:rsidRDefault="001B52AF" w:rsidP="00835C02">
      <w:pPr>
        <w:pStyle w:val="ListParagraph"/>
        <w:numPr>
          <w:ilvl w:val="0"/>
          <w:numId w:val="26"/>
        </w:numPr>
        <w:rPr>
          <w:rStyle w:val="Strong"/>
        </w:rPr>
      </w:pPr>
      <w:r>
        <w:rPr>
          <w:rStyle w:val="Strong"/>
        </w:rPr>
        <w:t>Business s</w:t>
      </w:r>
      <w:r w:rsidR="0089262E">
        <w:rPr>
          <w:rStyle w:val="Strong"/>
        </w:rPr>
        <w:t xml:space="preserve">ervice owners have alternative arrangements for providing services during the </w:t>
      </w:r>
      <w:r w:rsidR="009F46C9">
        <w:rPr>
          <w:rStyle w:val="Strong"/>
        </w:rPr>
        <w:t>disruption.</w:t>
      </w:r>
    </w:p>
    <w:p w14:paraId="05749B09" w14:textId="522857E3" w:rsidR="00AF6439" w:rsidRDefault="00850B56" w:rsidP="001B52AF">
      <w:pPr>
        <w:pStyle w:val="Heading1"/>
        <w:keepNext w:val="0"/>
        <w:keepLines w:val="0"/>
        <w:spacing w:before="100" w:after="100"/>
      </w:pPr>
      <w:r>
        <w:rPr>
          <w:b w:val="0"/>
          <w:noProof/>
          <w:color w:val="0077C0" w:themeColor="accent6"/>
          <w:lang w:eastAsia="en-AU"/>
        </w:rPr>
        <mc:AlternateContent>
          <mc:Choice Requires="wps">
            <w:drawing>
              <wp:anchor distT="144145" distB="144145" distL="114300" distR="114300" simplePos="0" relativeHeight="251661312" behindDoc="0" locked="0" layoutInCell="1" allowOverlap="1" wp14:anchorId="094FE0B3" wp14:editId="3A1112EF">
                <wp:simplePos x="0" y="0"/>
                <wp:positionH relativeFrom="column">
                  <wp:posOffset>19050</wp:posOffset>
                </wp:positionH>
                <wp:positionV relativeFrom="paragraph">
                  <wp:posOffset>623925</wp:posOffset>
                </wp:positionV>
                <wp:extent cx="5446395" cy="501650"/>
                <wp:effectExtent l="0" t="0" r="1905" b="0"/>
                <wp:wrapTopAndBottom/>
                <wp:docPr id="4" name="Rectangle 4"/>
                <wp:cNvGraphicFramePr/>
                <a:graphic xmlns:a="http://schemas.openxmlformats.org/drawingml/2006/main">
                  <a:graphicData uri="http://schemas.microsoft.com/office/word/2010/wordprocessingShape">
                    <wps:wsp>
                      <wps:cNvSpPr/>
                      <wps:spPr>
                        <a:xfrm>
                          <a:off x="0" y="0"/>
                          <a:ext cx="5446395" cy="501650"/>
                        </a:xfrm>
                        <a:prstGeom prst="rect">
                          <a:avLst/>
                        </a:prstGeom>
                        <a:solidFill>
                          <a:schemeClr val="tx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436943" w14:textId="357FB34E" w:rsidR="0074437E" w:rsidRPr="00CE37F2" w:rsidRDefault="0074437E" w:rsidP="00CE37F2">
                            <w:pPr>
                              <w:jc w:val="left"/>
                              <w:rPr>
                                <w:color w:val="003B60" w:themeColor="text2" w:themeShade="80"/>
                              </w:rPr>
                            </w:pPr>
                            <w:r w:rsidRPr="00ED1886">
                              <w:rPr>
                                <w:color w:val="003B60" w:themeColor="text2" w:themeShade="80"/>
                              </w:rPr>
                              <w:t>Agencies must plan, document and implement formal procedures for ICT disaster recovery.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FE0B3" id="Rectangle 4" o:spid="_x0000_s1028" style="position:absolute;left:0;text-align:left;margin-left:1.5pt;margin-top:49.15pt;width:428.85pt;height:39.5pt;z-index:251661312;visibility:visible;mso-wrap-style:square;mso-width-percent:0;mso-height-percent:0;mso-wrap-distance-left:9pt;mso-wrap-distance-top:11.35pt;mso-wrap-distance-right:9pt;mso-wrap-distance-bottom:11.3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" fillcolor="#bfe6ff [669]" stroked="f" strokeweight="1pt">
                <v:textbox>
                  <w:txbxContent>
                    <w:p w14:paraId="50436943" w14:textId="357FB34E" w:rsidR="0074437E" w:rsidRPr="00CE37F2" w:rsidRDefault="0074437E" w:rsidP="00CE37F2">
                      <w:pPr>
                        <w:jc w:val="left"/>
                        <w:rPr>
                          <w:color w:val="003B60" w:themeColor="text2" w:themeShade="80"/>
                        </w:rPr>
                      </w:pPr>
                      <w:r w:rsidRPr="00ED1886">
                        <w:rPr>
                          <w:color w:val="003B60" w:themeColor="text2" w:themeShade="80"/>
                        </w:rPr>
                        <w:t>Agencies must plan, document and implement formal procedures for ICT disaster recovery.</w:t>
                      </w:r>
                    </w:p>
                  </w:txbxContent>
                </v:textbox>
                <w10:wrap type="topAndBottom"/>
              </v:rect>
            </w:pict>
          </mc:Fallback>
        </mc:AlternateContent>
      </w:r>
      <w:r w:rsidR="00C2598F">
        <w:t xml:space="preserve">Requirement </w:t>
      </w:r>
      <w:r w:rsidR="002361E5">
        <w:t>Two</w:t>
      </w:r>
      <w:r w:rsidR="00C2598F">
        <w:t xml:space="preserve">: </w:t>
      </w:r>
      <w:r w:rsidR="0052676F">
        <w:t>F</w:t>
      </w:r>
      <w:r w:rsidR="00AF6439">
        <w:t>o</w:t>
      </w:r>
      <w:r w:rsidR="0052676F">
        <w:t>rmalise ICT Disaster Recovery Arrangements</w:t>
      </w:r>
    </w:p>
    <w:p w14:paraId="3C01F635" w14:textId="50A824D3" w:rsidR="0089262E" w:rsidRDefault="0089262E" w:rsidP="0089262E">
      <w:r>
        <w:t xml:space="preserve">A programmatic approach is at the heart of best practice in ICT disaster recovery and business continuity.  Without formally defined processes, it is difficult for agencies to evaluate their risks and ensure </w:t>
      </w:r>
      <w:r w:rsidRPr="004349C3">
        <w:t xml:space="preserve">they can </w:t>
      </w:r>
      <w:r>
        <w:t xml:space="preserve">quickly </w:t>
      </w:r>
      <w:r w:rsidRPr="004349C3">
        <w:t>respond to</w:t>
      </w:r>
      <w:r>
        <w:t>,</w:t>
      </w:r>
      <w:r w:rsidRPr="004349C3">
        <w:t xml:space="preserve"> and recover from</w:t>
      </w:r>
      <w:r>
        <w:t xml:space="preserve">, </w:t>
      </w:r>
      <w:r w:rsidRPr="004349C3">
        <w:t>disrupti</w:t>
      </w:r>
      <w:r>
        <w:t>ve events.</w:t>
      </w:r>
      <w:r w:rsidR="008F3F20">
        <w:t xml:space="preserve">  Implementing complementary standards for ICT </w:t>
      </w:r>
      <w:r w:rsidR="00345294">
        <w:t>disaster recovery</w:t>
      </w:r>
      <w:r w:rsidR="008F3F20">
        <w:t xml:space="preserve"> and business continuity will help agencies to ensure holistic </w:t>
      </w:r>
      <w:r w:rsidR="00345294">
        <w:t>risk management</w:t>
      </w:r>
      <w:r w:rsidR="008F3F20">
        <w:t xml:space="preserve"> outcomes.</w:t>
      </w:r>
    </w:p>
    <w:p w14:paraId="59D4987A" w14:textId="4E0EE903" w:rsidR="00AF0C43" w:rsidRDefault="00AF0C43" w:rsidP="0089262E">
      <w:r>
        <w:t xml:space="preserve">Agencies should have an ICT Disaster Recovery Plan in place by </w:t>
      </w:r>
      <w:r w:rsidRPr="00AF0C43">
        <w:rPr>
          <w:b/>
        </w:rPr>
        <w:t>1 April 201</w:t>
      </w:r>
      <w:r>
        <w:rPr>
          <w:b/>
        </w:rPr>
        <w:t>8</w:t>
      </w:r>
      <w:r>
        <w:t>.</w:t>
      </w:r>
    </w:p>
    <w:p w14:paraId="324F1444" w14:textId="5C426B93" w:rsidR="0089262E" w:rsidRDefault="0089262E" w:rsidP="0089262E">
      <w:r>
        <w:t xml:space="preserve">A number of resources are available to agencies to assist </w:t>
      </w:r>
      <w:r w:rsidR="008C6DF0">
        <w:t xml:space="preserve">with </w:t>
      </w:r>
      <w:r>
        <w:t>such an approach.</w:t>
      </w:r>
    </w:p>
    <w:p w14:paraId="04DD432E" w14:textId="77777777" w:rsidR="00A416A4" w:rsidRDefault="00A416A4" w:rsidP="00CE37F2">
      <w:pPr>
        <w:pStyle w:val="Heading2"/>
      </w:pPr>
      <w:r>
        <w:t>Standards and Guidance</w:t>
      </w:r>
    </w:p>
    <w:p w14:paraId="1EC93358" w14:textId="6B874AD3" w:rsidR="0089262E" w:rsidRPr="00CE37F2" w:rsidRDefault="0089262E" w:rsidP="00CE37F2">
      <w:pPr>
        <w:pStyle w:val="Heading3"/>
      </w:pPr>
      <w:r w:rsidRPr="00CE37F2">
        <w:t xml:space="preserve">Government </w:t>
      </w:r>
      <w:r w:rsidR="00D45B52" w:rsidRPr="00CE37F2">
        <w:t>Published Risk Guidance</w:t>
      </w:r>
    </w:p>
    <w:p w14:paraId="27C38B1D" w14:textId="44248D16" w:rsidR="0089262E" w:rsidRDefault="0089262E" w:rsidP="0089262E">
      <w:r>
        <w:t xml:space="preserve">The Insurance Commission of Western Australia, via </w:t>
      </w:r>
      <w:proofErr w:type="spellStart"/>
      <w:r>
        <w:t>RiskCover</w:t>
      </w:r>
      <w:proofErr w:type="spellEnd"/>
      <w:r>
        <w:t xml:space="preserve">, publishes guidelines for both </w:t>
      </w:r>
      <w:hyperlink r:id="rId21" w:history="1">
        <w:r w:rsidRPr="001B52AF">
          <w:rPr>
            <w:rStyle w:val="Hyperlink"/>
          </w:rPr>
          <w:t>business continuity and risk management</w:t>
        </w:r>
      </w:hyperlink>
      <w:r>
        <w:t xml:space="preserve">. </w:t>
      </w:r>
      <w:r w:rsidR="001B52AF">
        <w:t xml:space="preserve"> </w:t>
      </w:r>
      <w:r>
        <w:t xml:space="preserve">While their use is not mandated, </w:t>
      </w:r>
      <w:r w:rsidRPr="00563E43">
        <w:t>the documents are useful</w:t>
      </w:r>
      <w:r>
        <w:t>,</w:t>
      </w:r>
      <w:r w:rsidRPr="00563E43">
        <w:t xml:space="preserve"> high</w:t>
      </w:r>
      <w:r>
        <w:t>-</w:t>
      </w:r>
      <w:r w:rsidRPr="00563E43">
        <w:t>level guides.</w:t>
      </w:r>
    </w:p>
    <w:p w14:paraId="13BCB0B4" w14:textId="77777777" w:rsidR="0089262E" w:rsidRDefault="0089262E" w:rsidP="0089262E">
      <w:r>
        <w:t xml:space="preserve">In 2009, the Australian National Audit Office published a </w:t>
      </w:r>
      <w:hyperlink r:id="rId22" w:history="1">
        <w:r w:rsidRPr="0015503A">
          <w:rPr>
            <w:rStyle w:val="Hyperlink"/>
          </w:rPr>
          <w:t>Better Practice Guide for Business Continuity</w:t>
        </w:r>
      </w:hyperlink>
      <w:r>
        <w:t>.  It is understood that this guide is in the process of being revised.</w:t>
      </w:r>
    </w:p>
    <w:p w14:paraId="48D3A2B6" w14:textId="5D99A19F" w:rsidR="0089262E" w:rsidRDefault="008F3F20" w:rsidP="00CE37F2">
      <w:pPr>
        <w:pStyle w:val="Heading3"/>
      </w:pPr>
      <w:r>
        <w:t>ISO</w:t>
      </w:r>
      <w:r w:rsidR="0089262E" w:rsidRPr="00823D2A">
        <w:t xml:space="preserve"> </w:t>
      </w:r>
      <w:r w:rsidR="00D45B52">
        <w:t>S</w:t>
      </w:r>
      <w:r w:rsidR="0089262E" w:rsidRPr="00823D2A">
        <w:t>tandards</w:t>
      </w:r>
    </w:p>
    <w:p w14:paraId="7A15F83B" w14:textId="724D189C" w:rsidR="0089262E" w:rsidRDefault="00C2598F" w:rsidP="0089262E">
      <w:r>
        <w:t xml:space="preserve">There are </w:t>
      </w:r>
      <w:r w:rsidR="0089262E">
        <w:t>numerous relevant third-party ICT disaster recovery business continuity standards that agencies may wish to utilise</w:t>
      </w:r>
      <w:r w:rsidR="002B7469">
        <w:t xml:space="preserve">.  </w:t>
      </w:r>
      <w:r w:rsidR="0089262E">
        <w:t>Agencies are strongly encouraged to research and consult widely regarding which best suits their needs.</w:t>
      </w:r>
    </w:p>
    <w:p w14:paraId="37E0E0A7" w14:textId="2028E35B" w:rsidR="0089262E" w:rsidRDefault="0089262E">
      <w:r>
        <w:t>The following ISO standards are provided as suggestions for agency consideration on the basis of their currency and wide support in literature and practice.  The Office of the GCIO does not endorse or mandate any specific standard, but strongly encourages agencies to implement a program that is appropriate to their organisational needs, context and overall approach to risk management.</w:t>
      </w:r>
    </w:p>
    <w:p w14:paraId="49172BD4" w14:textId="75D9C33D" w:rsidR="0089262E" w:rsidRPr="00D65505" w:rsidRDefault="0089262E" w:rsidP="00BB389F">
      <w:pPr>
        <w:pStyle w:val="Heading3"/>
        <w:keepNext w:val="0"/>
        <w:keepLines w:val="0"/>
        <w:spacing w:before="100" w:after="100"/>
      </w:pPr>
      <w:r w:rsidRPr="00D65505">
        <w:t xml:space="preserve">Business </w:t>
      </w:r>
      <w:r w:rsidR="00D45B52">
        <w:t>C</w:t>
      </w:r>
      <w:r w:rsidR="00D45B52" w:rsidRPr="00D65505">
        <w:t>ontinuity</w:t>
      </w:r>
    </w:p>
    <w:p w14:paraId="18F93098" w14:textId="77777777" w:rsidR="0089262E" w:rsidRDefault="00525829" w:rsidP="00BB389F">
      <w:hyperlink r:id="rId23" w:history="1">
        <w:r w:rsidR="0089262E" w:rsidRPr="00F17C79">
          <w:rPr>
            <w:rStyle w:val="Hyperlink"/>
          </w:rPr>
          <w:t>ISO</w:t>
        </w:r>
        <w:r w:rsidR="0089262E">
          <w:rPr>
            <w:rStyle w:val="Hyperlink"/>
          </w:rPr>
          <w:t>/IEC</w:t>
        </w:r>
        <w:r w:rsidR="0089262E" w:rsidRPr="00F17C79">
          <w:rPr>
            <w:rStyle w:val="Hyperlink"/>
          </w:rPr>
          <w:t xml:space="preserve"> 22301:2012 Business Continuity Management Systems</w:t>
        </w:r>
      </w:hyperlink>
      <w:r w:rsidR="0089262E">
        <w:t xml:space="preserve"> </w:t>
      </w:r>
      <w:r w:rsidR="0089262E" w:rsidRPr="00734F0E">
        <w:t>specifies requirements to plan, establish, implement, operate, monitor, review, maintain and continually improve a documented management system to protect against, reduce the likelihood of occurrence, prepare for, respond to, and recover from disruptive incidents when they arise.</w:t>
      </w:r>
    </w:p>
    <w:p w14:paraId="2ACA031F" w14:textId="68D97FC2" w:rsidR="0089262E" w:rsidRPr="002305BF" w:rsidRDefault="0089262E" w:rsidP="00BB389F">
      <w:pPr>
        <w:pStyle w:val="Heading3"/>
      </w:pPr>
      <w:r w:rsidRPr="002305BF">
        <w:t xml:space="preserve">ICT </w:t>
      </w:r>
      <w:r w:rsidR="00D45B52">
        <w:t>D</w:t>
      </w:r>
      <w:r w:rsidR="00D45B52" w:rsidRPr="002305BF">
        <w:t xml:space="preserve">isaster </w:t>
      </w:r>
      <w:r w:rsidR="00D45B52">
        <w:t>R</w:t>
      </w:r>
      <w:r w:rsidR="00D45B52" w:rsidRPr="002305BF">
        <w:t>ecovery</w:t>
      </w:r>
    </w:p>
    <w:p w14:paraId="22E6962E" w14:textId="3BF60215" w:rsidR="0089262E" w:rsidRDefault="00525829" w:rsidP="0089262E">
      <w:hyperlink r:id="rId24" w:history="1">
        <w:r w:rsidR="0089262E" w:rsidRPr="007746DB">
          <w:rPr>
            <w:rStyle w:val="Hyperlink"/>
          </w:rPr>
          <w:t xml:space="preserve">ISO/IEC 27031:2011 Guidelines for Information </w:t>
        </w:r>
        <w:r w:rsidR="0089262E">
          <w:rPr>
            <w:rStyle w:val="Hyperlink"/>
          </w:rPr>
          <w:t>a</w:t>
        </w:r>
        <w:r w:rsidR="0089262E" w:rsidRPr="007746DB">
          <w:rPr>
            <w:rStyle w:val="Hyperlink"/>
          </w:rPr>
          <w:t xml:space="preserve">nd Communication Technology Readiness </w:t>
        </w:r>
        <w:r w:rsidR="0089262E">
          <w:rPr>
            <w:rStyle w:val="Hyperlink"/>
          </w:rPr>
          <w:t>f</w:t>
        </w:r>
        <w:r w:rsidR="0089262E" w:rsidRPr="007746DB">
          <w:rPr>
            <w:rStyle w:val="Hyperlink"/>
          </w:rPr>
          <w:t>or Business Continuity</w:t>
        </w:r>
      </w:hyperlink>
      <w:r w:rsidR="0089262E">
        <w:t xml:space="preserve"> </w:t>
      </w:r>
      <w:r w:rsidR="0089262E" w:rsidRPr="00C80E9D">
        <w:t>describes the concepts and principles of ICT re</w:t>
      </w:r>
      <w:r w:rsidR="008C6DF0">
        <w:t>adiness for business continuity</w:t>
      </w:r>
      <w:r w:rsidR="00C47A26">
        <w:t xml:space="preserve"> – that is, ICT disaster recovery</w:t>
      </w:r>
      <w:r w:rsidR="008C6DF0">
        <w:t>.  This standard</w:t>
      </w:r>
      <w:r w:rsidR="0089262E" w:rsidRPr="00C80E9D">
        <w:t xml:space="preserve"> provides a framework of methods and processes to identify and specify all aspects for improving an </w:t>
      </w:r>
      <w:r w:rsidR="00506956" w:rsidRPr="00C80E9D">
        <w:t>organi</w:t>
      </w:r>
      <w:r w:rsidR="00506956">
        <w:t>s</w:t>
      </w:r>
      <w:r w:rsidR="00506956" w:rsidRPr="00C80E9D">
        <w:t xml:space="preserve">ation's </w:t>
      </w:r>
      <w:r w:rsidR="0089262E" w:rsidRPr="00C80E9D">
        <w:t>ICT readiness</w:t>
      </w:r>
      <w:r w:rsidR="0089262E">
        <w:t xml:space="preserve"> to ensure business continuity.</w:t>
      </w:r>
      <w:r w:rsidR="008C6DF0">
        <w:t xml:space="preserve"> </w:t>
      </w:r>
      <w:r w:rsidR="0089262E">
        <w:t xml:space="preserve"> It </w:t>
      </w:r>
      <w:r w:rsidR="0089262E" w:rsidRPr="007746DB">
        <w:t>encompasses all events and incidents (including security related) that could have an impact on ICT infrastructure and systems.</w:t>
      </w:r>
      <w:r w:rsidR="0089262E">
        <w:t xml:space="preserve"> </w:t>
      </w:r>
      <w:r w:rsidR="0089262E" w:rsidRPr="007746DB">
        <w:t xml:space="preserve"> It includes and extends the practices of information security incident handling and management and ICT readiness planning and services.</w:t>
      </w:r>
    </w:p>
    <w:p w14:paraId="490A2DBC" w14:textId="1AF95973" w:rsidR="008C6DF0" w:rsidRPr="00CE37F2" w:rsidRDefault="008C6DF0">
      <w:pPr>
        <w:pStyle w:val="Heading2"/>
      </w:pPr>
      <w:r w:rsidRPr="00CE37F2">
        <w:t xml:space="preserve">Business </w:t>
      </w:r>
      <w:r w:rsidR="00D45B52">
        <w:t>I</w:t>
      </w:r>
      <w:r w:rsidRPr="00CE37F2">
        <w:t xml:space="preserve">mpact </w:t>
      </w:r>
      <w:r w:rsidR="00D45B52">
        <w:t>A</w:t>
      </w:r>
      <w:r w:rsidR="00D45B52" w:rsidRPr="00CE37F2">
        <w:t>nalysis</w:t>
      </w:r>
    </w:p>
    <w:p w14:paraId="26896189" w14:textId="331F9B4F" w:rsidR="008C6DF0" w:rsidRDefault="00513117" w:rsidP="008C6DF0">
      <w:r>
        <w:t>Conducting a b</w:t>
      </w:r>
      <w:r w:rsidR="008C6DF0">
        <w:t xml:space="preserve">usiness </w:t>
      </w:r>
      <w:r>
        <w:t>i</w:t>
      </w:r>
      <w:r w:rsidR="008C6DF0">
        <w:t xml:space="preserve">mpact </w:t>
      </w:r>
      <w:r>
        <w:t>a</w:t>
      </w:r>
      <w:r w:rsidR="008C6DF0">
        <w:t xml:space="preserve">nalysis (BIA) is the cornerstone of informed ICT disaster recovery decision-making. </w:t>
      </w:r>
      <w:r w:rsidR="00EF1758">
        <w:t xml:space="preserve"> </w:t>
      </w:r>
      <w:r w:rsidR="008C6DF0">
        <w:t xml:space="preserve">A BIA provides the basis for aligning </w:t>
      </w:r>
      <w:r w:rsidR="008C6DF0" w:rsidRPr="008A436D">
        <w:t>I</w:t>
      </w:r>
      <w:r w:rsidR="008C6DF0">
        <w:t>C</w:t>
      </w:r>
      <w:r w:rsidR="008C6DF0" w:rsidRPr="008A436D">
        <w:t xml:space="preserve">T </w:t>
      </w:r>
      <w:r w:rsidR="008C6DF0">
        <w:t>disaster recovery</w:t>
      </w:r>
      <w:r w:rsidR="008C6DF0" w:rsidRPr="008A436D">
        <w:t xml:space="preserve"> plans</w:t>
      </w:r>
      <w:r w:rsidR="008C6DF0">
        <w:t xml:space="preserve"> (and broader business continuity management)</w:t>
      </w:r>
      <w:r w:rsidR="008C6DF0" w:rsidRPr="008A436D">
        <w:t xml:space="preserve"> to business </w:t>
      </w:r>
      <w:r w:rsidR="008C6DF0">
        <w:t>priorities</w:t>
      </w:r>
      <w:r w:rsidR="008C6DF0" w:rsidRPr="008A436D">
        <w:t>.</w:t>
      </w:r>
    </w:p>
    <w:p w14:paraId="7F6F8F3F" w14:textId="59BB677C" w:rsidR="008C6DF0" w:rsidRDefault="008C6DF0" w:rsidP="008C6DF0">
      <w:r>
        <w:t xml:space="preserve">A </w:t>
      </w:r>
      <w:r w:rsidRPr="005E747A">
        <w:t xml:space="preserve">BIA is a systematic process to determine and evaluate the potential effects of an interruption to critical business </w:t>
      </w:r>
      <w:r>
        <w:t>functions</w:t>
      </w:r>
      <w:r w:rsidRPr="005E747A">
        <w:t xml:space="preserve"> as a result of a</w:t>
      </w:r>
      <w:r>
        <w:t>n incident</w:t>
      </w:r>
      <w:r w:rsidRPr="005E747A">
        <w:t>.</w:t>
      </w:r>
      <w:r w:rsidRPr="00C15EB5">
        <w:t xml:space="preserve"> </w:t>
      </w:r>
      <w:r>
        <w:t xml:space="preserve"> A BIA will identify business functions, </w:t>
      </w:r>
      <w:r w:rsidR="00EF1758">
        <w:t xml:space="preserve">the </w:t>
      </w:r>
      <w:r>
        <w:t>critical systems supporting them, and their dependencies.  Without a process to understand these, agencies are unable to make properly informed decisions about ICT disaster recovery strategies or investments.</w:t>
      </w:r>
    </w:p>
    <w:p w14:paraId="75D752DA" w14:textId="16920AAD" w:rsidR="008C6DF0" w:rsidRDefault="008C6DF0" w:rsidP="008C6DF0">
      <w:r>
        <w:t xml:space="preserve">A BIA maps business processes to business resources, </w:t>
      </w:r>
      <w:r w:rsidR="007A5BFF">
        <w:t>can inform</w:t>
      </w:r>
      <w:r>
        <w:t xml:space="preserve"> the recovery point and recovery time objectives</w:t>
      </w:r>
      <w:r w:rsidR="00513117">
        <w:t>,</w:t>
      </w:r>
      <w:r>
        <w:t xml:space="preserve"> and help agencies to understand the potential cost of downtime.</w:t>
      </w:r>
    </w:p>
    <w:p w14:paraId="609275D8" w14:textId="13E74D25" w:rsidR="008C6DF0" w:rsidRDefault="008C6DF0" w:rsidP="008C6DF0">
      <w:r>
        <w:t>Support from risk managers, business services owners and ICT practitioners is fundamental to ensuring that the BIA reflects the needs of the business.</w:t>
      </w:r>
      <w:r w:rsidR="0057039B">
        <w:t xml:space="preserve">  The BIA is </w:t>
      </w:r>
      <w:r w:rsidR="00513117">
        <w:t xml:space="preserve">also </w:t>
      </w:r>
      <w:r w:rsidR="0057039B">
        <w:t xml:space="preserve">a good starting point for determining roles and responsibilities for ICT disaster recovery, as per Policy </w:t>
      </w:r>
      <w:r w:rsidR="003C0CF6">
        <w:t>R</w:t>
      </w:r>
      <w:r w:rsidR="0057039B">
        <w:t xml:space="preserve">equirement </w:t>
      </w:r>
      <w:r w:rsidR="003C0CF6">
        <w:t>One</w:t>
      </w:r>
      <w:r w:rsidR="0057039B">
        <w:t>.</w:t>
      </w:r>
    </w:p>
    <w:p w14:paraId="1D55F6BF" w14:textId="6AE95376" w:rsidR="007A5BFF" w:rsidRDefault="007A5BFF" w:rsidP="008C6DF0">
      <w:r>
        <w:t xml:space="preserve">A </w:t>
      </w:r>
      <w:r w:rsidR="006040DD">
        <w:t xml:space="preserve">basic </w:t>
      </w:r>
      <w:r>
        <w:t xml:space="preserve">example </w:t>
      </w:r>
      <w:r w:rsidR="006040DD">
        <w:t>of a</w:t>
      </w:r>
      <w:r w:rsidR="00F02D33">
        <w:t>n ICT systems</w:t>
      </w:r>
      <w:r w:rsidR="002B7FC3">
        <w:t xml:space="preserve"> </w:t>
      </w:r>
      <w:r w:rsidR="00F02D33">
        <w:t xml:space="preserve">focussed </w:t>
      </w:r>
      <w:r>
        <w:t xml:space="preserve">BIA is provided at Appendix 1: </w:t>
      </w:r>
      <w:r w:rsidR="00F02D33">
        <w:t xml:space="preserve">ICT Disaster Recovery </w:t>
      </w:r>
      <w:r>
        <w:t>Business Impact Assessment Example.  This is a hypothetical example that agencies may find useful in understanding the BIA process</w:t>
      </w:r>
      <w:r w:rsidR="006040DD">
        <w:t>,</w:t>
      </w:r>
      <w:r w:rsidR="00513117">
        <w:t xml:space="preserve"> and</w:t>
      </w:r>
      <w:r>
        <w:t xml:space="preserve"> it may form a basis for their own process and supporting documents.</w:t>
      </w:r>
      <w:r w:rsidR="00F02D33">
        <w:t xml:space="preserve">  Agencies may also wish to conduct this in tandem with the Business Continuity Business Impact Analysis process and tools found at </w:t>
      </w:r>
      <w:hyperlink r:id="rId25" w:history="1">
        <w:r w:rsidR="00F02D33" w:rsidRPr="00556902">
          <w:rPr>
            <w:rStyle w:val="Hyperlink"/>
          </w:rPr>
          <w:t>https://www.icwa.wa.gov.au/riskcover/risk-management</w:t>
        </w:r>
      </w:hyperlink>
      <w:r w:rsidR="00F02D33">
        <w:t xml:space="preserve"> .</w:t>
      </w:r>
    </w:p>
    <w:p w14:paraId="6ECE6E71" w14:textId="0CFCBB46" w:rsidR="008C6DF0" w:rsidRPr="00CE37F2" w:rsidRDefault="009F46C9" w:rsidP="00CE37F2">
      <w:pPr>
        <w:pStyle w:val="Heading2"/>
      </w:pPr>
      <w:r>
        <w:t>I</w:t>
      </w:r>
      <w:r w:rsidR="008C6DF0" w:rsidRPr="00CE37F2">
        <w:t xml:space="preserve">CT </w:t>
      </w:r>
      <w:r w:rsidR="00D45B52" w:rsidRPr="00CE37F2">
        <w:t>Disaster Recovery Planning</w:t>
      </w:r>
    </w:p>
    <w:p w14:paraId="28EF3467" w14:textId="189FA70E" w:rsidR="00D66097" w:rsidRDefault="00D66097" w:rsidP="00D84A74">
      <w:r>
        <w:t xml:space="preserve">By using the outputs of the BIA, disaster recovery planning can begin or existing arrangements can be revised.  It may be the case that existing systems are unable to meet agency business requirements for technical reasons, or may require additional investment in order to do so.  For ICT practitioners, finding a language and approach that is relevant to your agency’s business </w:t>
      </w:r>
      <w:r w:rsidR="001161E9">
        <w:t xml:space="preserve">owners </w:t>
      </w:r>
      <w:r>
        <w:t xml:space="preserve">is important in communicating these </w:t>
      </w:r>
      <w:r w:rsidR="005853F9">
        <w:t>requirements</w:t>
      </w:r>
      <w:r>
        <w:t>.</w:t>
      </w:r>
      <w:r w:rsidR="009F46C9">
        <w:t xml:space="preserve">  Communicating risks relating to ICT system unavailability to the corporate risk body is a key step in creating accountability for accepting or treating these risks.</w:t>
      </w:r>
    </w:p>
    <w:p w14:paraId="6446E6E4" w14:textId="2B873F69" w:rsidR="009F46C9" w:rsidRDefault="0089262E" w:rsidP="009F46C9">
      <w:r>
        <w:t xml:space="preserve">Regardless of what standard or model an agency chooses to utilise, </w:t>
      </w:r>
      <w:r w:rsidR="008C6DF0">
        <w:t>t</w:t>
      </w:r>
      <w:r w:rsidR="00B37E9D">
        <w:t xml:space="preserve">he </w:t>
      </w:r>
      <w:r w:rsidR="008C6DF0">
        <w:t xml:space="preserve">ICT </w:t>
      </w:r>
      <w:r w:rsidR="00B37E9D">
        <w:t xml:space="preserve">Disaster Recovery Plan </w:t>
      </w:r>
      <w:r w:rsidR="008C6DF0">
        <w:t xml:space="preserve">will be </w:t>
      </w:r>
      <w:r w:rsidR="009F46C9">
        <w:t xml:space="preserve">an important </w:t>
      </w:r>
      <w:r w:rsidR="00B37E9D" w:rsidRPr="006329A5">
        <w:t>document</w:t>
      </w:r>
      <w:r w:rsidR="009F46C9">
        <w:t xml:space="preserve"> containing</w:t>
      </w:r>
      <w:r w:rsidR="00B37E9D" w:rsidRPr="006329A5">
        <w:t xml:space="preserve"> process </w:t>
      </w:r>
      <w:r w:rsidR="008C6DF0">
        <w:t>and</w:t>
      </w:r>
      <w:r w:rsidR="00B37E9D" w:rsidRPr="006329A5">
        <w:t xml:space="preserve"> procedures to recover and protect a business</w:t>
      </w:r>
      <w:r w:rsidR="00B37E9D">
        <w:t>’</w:t>
      </w:r>
      <w:r w:rsidR="00B37E9D" w:rsidRPr="006329A5">
        <w:t xml:space="preserve"> IT infrastructure in the event of </w:t>
      </w:r>
      <w:r w:rsidR="008C6DF0">
        <w:t>a</w:t>
      </w:r>
      <w:r w:rsidR="009F46C9">
        <w:t xml:space="preserve"> disruption</w:t>
      </w:r>
      <w:r w:rsidR="002B7469" w:rsidRPr="006329A5">
        <w:t xml:space="preserve">.  </w:t>
      </w:r>
      <w:r w:rsidR="00B37E9D" w:rsidRPr="006329A5">
        <w:t xml:space="preserve">Such a plan, ordinarily documented in written form, </w:t>
      </w:r>
      <w:r w:rsidR="00B37E9D">
        <w:t xml:space="preserve">should include system level recovery </w:t>
      </w:r>
      <w:r w:rsidR="00D66097">
        <w:t>arrangements</w:t>
      </w:r>
      <w:r w:rsidR="00B37E9D">
        <w:t xml:space="preserve"> and include sufficient information to be useful to personnel who are not familiar with the specific system.  ICT Practitioners should ensure that plans are in place to ensure that business service owners (or delegates) will be contacted in the event of a </w:t>
      </w:r>
      <w:r w:rsidR="009F46C9">
        <w:t>disruption</w:t>
      </w:r>
      <w:r w:rsidR="00B37E9D">
        <w:t>.</w:t>
      </w:r>
      <w:r w:rsidR="009F46C9" w:rsidRPr="009F46C9">
        <w:t xml:space="preserve"> </w:t>
      </w:r>
    </w:p>
    <w:p w14:paraId="6AD19137" w14:textId="7E98771B" w:rsidR="00B37E9D" w:rsidRDefault="009F46C9" w:rsidP="00D84A74">
      <w:r>
        <w:t>In developing or revising ICT disaster recovery plans, ICT practitioners are encouraged to investigate developments in cloud-based infrastructure and “Disaster Recovery as a Service” offerings, which may offer cost-effective solutions to achieving ICT disaster recovery goals.</w:t>
      </w:r>
    </w:p>
    <w:p w14:paraId="28B1A91F" w14:textId="335360C5" w:rsidR="009F46C9" w:rsidRPr="00CE37F2" w:rsidRDefault="009F46C9" w:rsidP="00CE37F2">
      <w:pPr>
        <w:pStyle w:val="Heading2"/>
      </w:pPr>
      <w:r w:rsidRPr="00CE37F2">
        <w:t xml:space="preserve">Incident </w:t>
      </w:r>
      <w:r w:rsidR="00D45B52" w:rsidRPr="00CE37F2">
        <w:t>Response Planning</w:t>
      </w:r>
    </w:p>
    <w:p w14:paraId="04BCCD84" w14:textId="2E7526B3" w:rsidR="00B37E9D" w:rsidRDefault="00B37E9D" w:rsidP="00B37E9D">
      <w:r>
        <w:t xml:space="preserve">An Incident Response Plan </w:t>
      </w:r>
      <w:r w:rsidRPr="006329A5">
        <w:t xml:space="preserve">is a general plan for dealing with any number of crises that could negatively impact </w:t>
      </w:r>
      <w:r w:rsidR="00D66097">
        <w:t>an agenc</w:t>
      </w:r>
      <w:r w:rsidR="009F46C9">
        <w:t>y’</w:t>
      </w:r>
      <w:r w:rsidR="00D66097">
        <w:t>s</w:t>
      </w:r>
      <w:r w:rsidRPr="006329A5">
        <w:t xml:space="preserve"> business</w:t>
      </w:r>
      <w:r w:rsidR="002B7469">
        <w:t xml:space="preserve">.  </w:t>
      </w:r>
      <w:r>
        <w:t xml:space="preserve">An Incident Response Plan will be broader than just ICT disaster recovery considerations, </w:t>
      </w:r>
      <w:r w:rsidR="00506956">
        <w:t xml:space="preserve">and </w:t>
      </w:r>
      <w:r>
        <w:t xml:space="preserve">should include specific references to the triggering of the Disaster Recovery Plan.  ICT practitioners should consider specifically how they can contribute to this, and how incident response planning can be </w:t>
      </w:r>
      <w:r w:rsidR="009F46C9">
        <w:t xml:space="preserve">linked to </w:t>
      </w:r>
      <w:r>
        <w:t>the ICT Disaster Recovery Plan.</w:t>
      </w:r>
    </w:p>
    <w:p w14:paraId="5A24EF08" w14:textId="53B613FD" w:rsidR="00B37E9D" w:rsidRDefault="00B37E9D" w:rsidP="00B37E9D">
      <w:r>
        <w:t xml:space="preserve">Developing and implementing </w:t>
      </w:r>
      <w:r w:rsidR="005853F9">
        <w:t xml:space="preserve">ICT </w:t>
      </w:r>
      <w:r w:rsidR="00506956">
        <w:t xml:space="preserve">disaster recovery </w:t>
      </w:r>
      <w:r>
        <w:t>plans enables agencies to be prepared for a disruption</w:t>
      </w:r>
      <w:r w:rsidR="002B7469">
        <w:t xml:space="preserve">.  </w:t>
      </w:r>
      <w:r w:rsidR="005853F9">
        <w:t xml:space="preserve">Planning enables agencies to establish </w:t>
      </w:r>
      <w:r>
        <w:t xml:space="preserve">the necessary tools to recover within acceptable time frames, </w:t>
      </w:r>
      <w:r w:rsidR="005853F9">
        <w:t xml:space="preserve">and </w:t>
      </w:r>
      <w:r>
        <w:t>to understa</w:t>
      </w:r>
      <w:r w:rsidR="001B52AF">
        <w:t>nd what to do in the event of a disruption</w:t>
      </w:r>
      <w:r>
        <w:t>.</w:t>
      </w:r>
    </w:p>
    <w:p w14:paraId="2D30DB9E" w14:textId="495EB9DC" w:rsidR="00CB103D" w:rsidRDefault="00CB103D" w:rsidP="00CB103D">
      <w:pPr>
        <w:rPr>
          <w:rStyle w:val="Strong"/>
        </w:rPr>
      </w:pPr>
      <w:r>
        <w:rPr>
          <w:rStyle w:val="Strong"/>
        </w:rPr>
        <w:t>Checklist:</w:t>
      </w:r>
    </w:p>
    <w:p w14:paraId="180B5EC0" w14:textId="7FC67A8E" w:rsidR="00A773B5" w:rsidRDefault="00A773B5" w:rsidP="00A773B5">
      <w:pPr>
        <w:pStyle w:val="ListParagraph"/>
        <w:keepNext/>
        <w:numPr>
          <w:ilvl w:val="0"/>
          <w:numId w:val="22"/>
        </w:numPr>
        <w:rPr>
          <w:rStyle w:val="Strong"/>
        </w:rPr>
      </w:pPr>
      <w:r>
        <w:rPr>
          <w:rStyle w:val="Strong"/>
        </w:rPr>
        <w:t>Th</w:t>
      </w:r>
      <w:r w:rsidRPr="002510E7">
        <w:rPr>
          <w:rStyle w:val="Strong"/>
        </w:rPr>
        <w:t xml:space="preserve">e organisation </w:t>
      </w:r>
      <w:r>
        <w:rPr>
          <w:rStyle w:val="Strong"/>
        </w:rPr>
        <w:t>has identified and adopted</w:t>
      </w:r>
      <w:r w:rsidRPr="002510E7">
        <w:rPr>
          <w:rStyle w:val="Strong"/>
        </w:rPr>
        <w:t xml:space="preserve"> a business continuity </w:t>
      </w:r>
      <w:r>
        <w:rPr>
          <w:rStyle w:val="Strong"/>
        </w:rPr>
        <w:t>and/</w:t>
      </w:r>
      <w:r w:rsidRPr="002510E7">
        <w:rPr>
          <w:rStyle w:val="Strong"/>
        </w:rPr>
        <w:t xml:space="preserve">or ICT disaster recovery </w:t>
      </w:r>
      <w:r>
        <w:rPr>
          <w:rStyle w:val="Strong"/>
        </w:rPr>
        <w:t>system.</w:t>
      </w:r>
    </w:p>
    <w:p w14:paraId="34AC9253" w14:textId="479AC4D2" w:rsidR="00B14028" w:rsidRDefault="00ED1886" w:rsidP="00B14028">
      <w:pPr>
        <w:pStyle w:val="ListParagraph"/>
        <w:numPr>
          <w:ilvl w:val="0"/>
          <w:numId w:val="22"/>
        </w:numPr>
        <w:rPr>
          <w:rStyle w:val="Strong"/>
        </w:rPr>
      </w:pPr>
      <w:r>
        <w:rPr>
          <w:rStyle w:val="Strong"/>
        </w:rPr>
        <w:t xml:space="preserve">A </w:t>
      </w:r>
      <w:r w:rsidR="00B14028">
        <w:rPr>
          <w:rStyle w:val="Strong"/>
        </w:rPr>
        <w:t>BIA</w:t>
      </w:r>
      <w:r w:rsidR="000C7FC1">
        <w:rPr>
          <w:rStyle w:val="Strong"/>
        </w:rPr>
        <w:t>, or equivalent process,</w:t>
      </w:r>
      <w:r w:rsidR="00B14028">
        <w:rPr>
          <w:rStyle w:val="Strong"/>
        </w:rPr>
        <w:t xml:space="preserve"> </w:t>
      </w:r>
      <w:r>
        <w:rPr>
          <w:rStyle w:val="Strong"/>
        </w:rPr>
        <w:t xml:space="preserve">has </w:t>
      </w:r>
      <w:r w:rsidR="00B14028">
        <w:rPr>
          <w:rStyle w:val="Strong"/>
        </w:rPr>
        <w:t>been performed that identifies agency business functions and the systems that support them</w:t>
      </w:r>
      <w:r>
        <w:rPr>
          <w:rStyle w:val="Strong"/>
        </w:rPr>
        <w:t>.</w:t>
      </w:r>
    </w:p>
    <w:p w14:paraId="1912CDF1" w14:textId="26DB69C9" w:rsidR="00B14028" w:rsidRDefault="00B14028" w:rsidP="00B14028">
      <w:pPr>
        <w:pStyle w:val="ListParagraph"/>
        <w:numPr>
          <w:ilvl w:val="0"/>
          <w:numId w:val="22"/>
        </w:numPr>
        <w:rPr>
          <w:rStyle w:val="Strong"/>
        </w:rPr>
      </w:pPr>
      <w:r>
        <w:rPr>
          <w:rStyle w:val="Strong"/>
        </w:rPr>
        <w:t xml:space="preserve">ICT </w:t>
      </w:r>
      <w:r w:rsidR="00A773B5">
        <w:rPr>
          <w:rStyle w:val="Strong"/>
        </w:rPr>
        <w:t xml:space="preserve">practitioners </w:t>
      </w:r>
      <w:r>
        <w:rPr>
          <w:rStyle w:val="Strong"/>
        </w:rPr>
        <w:t>understand the recovery time and recovery point objectives the business requires</w:t>
      </w:r>
      <w:r w:rsidR="009F46C9">
        <w:rPr>
          <w:rStyle w:val="Strong"/>
        </w:rPr>
        <w:t>, and these are agreed with the business service owner</w:t>
      </w:r>
      <w:r w:rsidR="00A773B5">
        <w:rPr>
          <w:rStyle w:val="Strong"/>
        </w:rPr>
        <w:t>s</w:t>
      </w:r>
      <w:r w:rsidR="009F46C9">
        <w:rPr>
          <w:rStyle w:val="Strong"/>
        </w:rPr>
        <w:t>.</w:t>
      </w:r>
    </w:p>
    <w:p w14:paraId="4D5FB90F" w14:textId="31607ADA" w:rsidR="009F46C9" w:rsidRDefault="00ED1886" w:rsidP="00B14028">
      <w:pPr>
        <w:pStyle w:val="ListParagraph"/>
        <w:numPr>
          <w:ilvl w:val="0"/>
          <w:numId w:val="22"/>
        </w:numPr>
        <w:rPr>
          <w:rStyle w:val="Strong"/>
        </w:rPr>
      </w:pPr>
      <w:r>
        <w:rPr>
          <w:rStyle w:val="Strong"/>
        </w:rPr>
        <w:t>T</w:t>
      </w:r>
      <w:r w:rsidR="00B14028">
        <w:rPr>
          <w:rStyle w:val="Strong"/>
        </w:rPr>
        <w:t>he ICT Disaster Recovery Plan reflect</w:t>
      </w:r>
      <w:r>
        <w:rPr>
          <w:rStyle w:val="Strong"/>
        </w:rPr>
        <w:t>s</w:t>
      </w:r>
      <w:r w:rsidR="00B14028">
        <w:rPr>
          <w:rStyle w:val="Strong"/>
        </w:rPr>
        <w:t xml:space="preserve"> the priorities of the business</w:t>
      </w:r>
      <w:r>
        <w:rPr>
          <w:rStyle w:val="Strong"/>
        </w:rPr>
        <w:t>.</w:t>
      </w:r>
    </w:p>
    <w:p w14:paraId="5B765364" w14:textId="5EC046B9" w:rsidR="00B14028" w:rsidRDefault="009F46C9" w:rsidP="00B14028">
      <w:pPr>
        <w:pStyle w:val="ListParagraph"/>
        <w:numPr>
          <w:ilvl w:val="0"/>
          <w:numId w:val="22"/>
        </w:numPr>
        <w:rPr>
          <w:rStyle w:val="Strong"/>
        </w:rPr>
      </w:pPr>
      <w:r>
        <w:rPr>
          <w:rStyle w:val="Strong"/>
        </w:rPr>
        <w:t xml:space="preserve">Outstanding ICT disaster recovery risks are </w:t>
      </w:r>
      <w:r w:rsidR="00A773B5">
        <w:rPr>
          <w:rStyle w:val="Strong"/>
        </w:rPr>
        <w:t xml:space="preserve">identified and </w:t>
      </w:r>
      <w:r>
        <w:rPr>
          <w:rStyle w:val="Strong"/>
        </w:rPr>
        <w:t xml:space="preserve">reported to the corporate risk </w:t>
      </w:r>
      <w:r w:rsidR="00A773B5">
        <w:rPr>
          <w:rStyle w:val="Strong"/>
        </w:rPr>
        <w:t xml:space="preserve">management </w:t>
      </w:r>
      <w:r>
        <w:rPr>
          <w:rStyle w:val="Strong"/>
        </w:rPr>
        <w:t>body.</w:t>
      </w:r>
    </w:p>
    <w:p w14:paraId="6B63A8B0" w14:textId="174C152F" w:rsidR="009F46C9" w:rsidRDefault="009F46C9" w:rsidP="00B14028">
      <w:pPr>
        <w:pStyle w:val="ListParagraph"/>
        <w:numPr>
          <w:ilvl w:val="0"/>
          <w:numId w:val="22"/>
        </w:numPr>
        <w:rPr>
          <w:rStyle w:val="Strong"/>
        </w:rPr>
      </w:pPr>
      <w:r>
        <w:rPr>
          <w:rStyle w:val="Strong"/>
        </w:rPr>
        <w:t>System-level ICT disaster recovery plans are in place.</w:t>
      </w:r>
    </w:p>
    <w:p w14:paraId="6E587080" w14:textId="22066BEC" w:rsidR="00CB103D" w:rsidRDefault="00A773B5" w:rsidP="00B14028">
      <w:pPr>
        <w:pStyle w:val="ListParagraph"/>
        <w:numPr>
          <w:ilvl w:val="0"/>
          <w:numId w:val="22"/>
        </w:numPr>
        <w:rPr>
          <w:rStyle w:val="Strong"/>
        </w:rPr>
      </w:pPr>
      <w:r>
        <w:rPr>
          <w:rStyle w:val="Strong"/>
        </w:rPr>
        <w:t>Current, o</w:t>
      </w:r>
      <w:r w:rsidR="00CB103D">
        <w:rPr>
          <w:rStyle w:val="Strong"/>
        </w:rPr>
        <w:t xml:space="preserve">ffsite copies of the ICT Disaster Recovery Plan </w:t>
      </w:r>
      <w:r>
        <w:rPr>
          <w:rStyle w:val="Strong"/>
        </w:rPr>
        <w:t xml:space="preserve">are </w:t>
      </w:r>
      <w:r w:rsidR="00CB103D">
        <w:rPr>
          <w:rStyle w:val="Strong"/>
        </w:rPr>
        <w:t>available in the case of an incident</w:t>
      </w:r>
      <w:r w:rsidR="00ED1886">
        <w:rPr>
          <w:rStyle w:val="Strong"/>
        </w:rPr>
        <w:t>.</w:t>
      </w:r>
    </w:p>
    <w:p w14:paraId="73EF0369" w14:textId="1C9EDC98" w:rsidR="00A72634" w:rsidRDefault="00A773B5" w:rsidP="00CE37F2">
      <w:pPr>
        <w:pStyle w:val="Heading1"/>
      </w:pPr>
      <w:r>
        <w:rPr>
          <w:b w:val="0"/>
          <w:noProof/>
          <w:color w:val="0077C0" w:themeColor="accent6"/>
          <w:lang w:eastAsia="en-AU"/>
        </w:rPr>
        <mc:AlternateContent>
          <mc:Choice Requires="wps">
            <w:drawing>
              <wp:anchor distT="144145" distB="144145" distL="114300" distR="114300" simplePos="0" relativeHeight="251663360" behindDoc="0" locked="0" layoutInCell="1" allowOverlap="1" wp14:anchorId="16C70DBC" wp14:editId="22391639">
                <wp:simplePos x="0" y="0"/>
                <wp:positionH relativeFrom="column">
                  <wp:posOffset>0</wp:posOffset>
                </wp:positionH>
                <wp:positionV relativeFrom="paragraph">
                  <wp:posOffset>539750</wp:posOffset>
                </wp:positionV>
                <wp:extent cx="5446395" cy="1051560"/>
                <wp:effectExtent l="0" t="0" r="1905" b="0"/>
                <wp:wrapTopAndBottom/>
                <wp:docPr id="5" name="Rectangle 5"/>
                <wp:cNvGraphicFramePr/>
                <a:graphic xmlns:a="http://schemas.openxmlformats.org/drawingml/2006/main">
                  <a:graphicData uri="http://schemas.microsoft.com/office/word/2010/wordprocessingShape">
                    <wps:wsp>
                      <wps:cNvSpPr/>
                      <wps:spPr>
                        <a:xfrm>
                          <a:off x="0" y="0"/>
                          <a:ext cx="5446395" cy="1051560"/>
                        </a:xfrm>
                        <a:prstGeom prst="rect">
                          <a:avLst/>
                        </a:prstGeom>
                        <a:solidFill>
                          <a:schemeClr val="tx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26979A" w14:textId="2F7FF9FE" w:rsidR="0074437E" w:rsidRDefault="0074437E" w:rsidP="00CE37F2">
                            <w:pPr>
                              <w:jc w:val="left"/>
                              <w:rPr>
                                <w:color w:val="003B60" w:themeColor="text2" w:themeShade="80"/>
                              </w:rPr>
                            </w:pPr>
                            <w:r w:rsidRPr="00ED1886">
                              <w:rPr>
                                <w:color w:val="003B60" w:themeColor="text2" w:themeShade="80"/>
                              </w:rPr>
                              <w:t xml:space="preserve">Agencies </w:t>
                            </w:r>
                            <w:r>
                              <w:rPr>
                                <w:color w:val="003B60" w:themeColor="text2" w:themeShade="80"/>
                              </w:rPr>
                              <w:t>must ensure that ICT disaster recovery arrangements include formal mechanisms for continuous improvement.</w:t>
                            </w:r>
                          </w:p>
                          <w:p w14:paraId="439A577A" w14:textId="14F5773E" w:rsidR="0074437E" w:rsidRPr="00CE37F2" w:rsidRDefault="0074437E" w:rsidP="00CE37F2">
                            <w:pPr>
                              <w:jc w:val="left"/>
                              <w:rPr>
                                <w:color w:val="003B60" w:themeColor="text2" w:themeShade="80"/>
                              </w:rPr>
                            </w:pPr>
                            <w:r>
                              <w:rPr>
                                <w:color w:val="003B60" w:themeColor="text2" w:themeShade="80"/>
                              </w:rPr>
                              <w:t>ICT disaster recovery arrangements must be routinely monitored, reviewed and tested.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70DBC" id="Rectangle 5" o:spid="_x0000_s1029" style="position:absolute;left:0;text-align:left;margin-left:0;margin-top:42.5pt;width:428.85pt;height:82.8pt;z-index:251663360;visibility:visible;mso-wrap-style:square;mso-width-percent:0;mso-height-percent:0;mso-wrap-distance-left:9pt;mso-wrap-distance-top:11.35pt;mso-wrap-distance-right:9pt;mso-wrap-distance-bottom:11.3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" fillcolor="#bfe6ff [669]" stroked="f" strokeweight="1pt">
                <v:textbox>
                  <w:txbxContent>
                    <w:p w14:paraId="0826979A" w14:textId="2F7FF9FE" w:rsidR="0074437E" w:rsidRDefault="0074437E" w:rsidP="00CE37F2">
                      <w:pPr>
                        <w:jc w:val="left"/>
                        <w:rPr>
                          <w:color w:val="003B60" w:themeColor="text2" w:themeShade="80"/>
                        </w:rPr>
                      </w:pPr>
                      <w:r w:rsidRPr="00ED1886">
                        <w:rPr>
                          <w:color w:val="003B60" w:themeColor="text2" w:themeShade="80"/>
                        </w:rPr>
                        <w:t xml:space="preserve">Agencies </w:t>
                      </w:r>
                      <w:r>
                        <w:rPr>
                          <w:color w:val="003B60" w:themeColor="text2" w:themeShade="80"/>
                        </w:rPr>
                        <w:t>must ensure that ICT disaster recovery arrangements include formal mechanisms for continuous improvement.</w:t>
                      </w:r>
                    </w:p>
                    <w:p w14:paraId="439A577A" w14:textId="14F5773E" w:rsidR="0074437E" w:rsidRPr="00CE37F2" w:rsidRDefault="0074437E" w:rsidP="00CE37F2">
                      <w:pPr>
                        <w:jc w:val="left"/>
                        <w:rPr>
                          <w:color w:val="003B60" w:themeColor="text2" w:themeShade="80"/>
                        </w:rPr>
                      </w:pPr>
                      <w:r>
                        <w:rPr>
                          <w:color w:val="003B60" w:themeColor="text2" w:themeShade="80"/>
                        </w:rPr>
                        <w:t>ICT disaster recovery arrangements must be routinely monitored, reviewed and tested.</w:t>
                      </w:r>
                    </w:p>
                  </w:txbxContent>
                </v:textbox>
                <w10:wrap type="topAndBottom"/>
              </v:rect>
            </w:pict>
          </mc:Fallback>
        </mc:AlternateContent>
      </w:r>
      <w:r w:rsidR="00C2598F">
        <w:t xml:space="preserve">Requirement </w:t>
      </w:r>
      <w:r w:rsidR="002361E5">
        <w:t>Three</w:t>
      </w:r>
      <w:r w:rsidR="00C2598F">
        <w:t xml:space="preserve">: </w:t>
      </w:r>
      <w:r w:rsidR="0052676F">
        <w:t>Continuous Improvement</w:t>
      </w:r>
    </w:p>
    <w:p w14:paraId="4A4D573C" w14:textId="54EB3BE5" w:rsidR="00A773B5" w:rsidRDefault="00A773B5" w:rsidP="00CE37F2">
      <w:pPr>
        <w:pStyle w:val="Heading2"/>
      </w:pPr>
      <w:r>
        <w:t xml:space="preserve">Exercising and </w:t>
      </w:r>
      <w:r w:rsidR="00D45B52">
        <w:t>T</w:t>
      </w:r>
      <w:r w:rsidRPr="004F1B03">
        <w:t>esting</w:t>
      </w:r>
    </w:p>
    <w:p w14:paraId="14E5C4E6" w14:textId="2DCEA9BB" w:rsidR="00B37E9D" w:rsidRDefault="00B37E9D" w:rsidP="00CE37F2">
      <w:r>
        <w:t>Testing is vital to ensuring that the business continuity and ICT disaster recovery plans are ready for use in the event of a disruption.  In particular, testing ICT disaster recovery plans verifies that an agency’s strategies can meet its recovery</w:t>
      </w:r>
      <w:r w:rsidR="00A773B5">
        <w:t xml:space="preserve"> point and </w:t>
      </w:r>
      <w:r>
        <w:t>time objectives.  Testing is a major contributor to overall business continuity and disaster recovery capability and awareness.</w:t>
      </w:r>
    </w:p>
    <w:p w14:paraId="2717E465" w14:textId="6C523F00" w:rsidR="00BB5CB7" w:rsidRDefault="003C0CF6" w:rsidP="00B37E9D">
      <w:r>
        <w:rPr>
          <w:noProof/>
          <w:lang w:eastAsia="en-AU"/>
        </w:rPr>
        <mc:AlternateContent>
          <mc:Choice Requires="wps">
            <w:drawing>
              <wp:anchor distT="0" distB="0" distL="114300" distR="114300" simplePos="0" relativeHeight="251671552" behindDoc="1" locked="0" layoutInCell="1" allowOverlap="1" wp14:anchorId="4F2EDE7F" wp14:editId="512538B7">
                <wp:simplePos x="0" y="0"/>
                <wp:positionH relativeFrom="column">
                  <wp:posOffset>2794635</wp:posOffset>
                </wp:positionH>
                <wp:positionV relativeFrom="paragraph">
                  <wp:posOffset>7799</wp:posOffset>
                </wp:positionV>
                <wp:extent cx="2974340" cy="3940810"/>
                <wp:effectExtent l="0" t="0" r="0" b="2540"/>
                <wp:wrapSquare wrapText="bothSides"/>
                <wp:docPr id="9" name="Rounded Rectangle 9"/>
                <wp:cNvGraphicFramePr/>
                <a:graphic xmlns:a="http://schemas.openxmlformats.org/drawingml/2006/main">
                  <a:graphicData uri="http://schemas.microsoft.com/office/word/2010/wordprocessingShape">
                    <wps:wsp>
                      <wps:cNvSpPr/>
                      <wps:spPr>
                        <a:xfrm>
                          <a:off x="0" y="0"/>
                          <a:ext cx="2974340" cy="3940810"/>
                        </a:xfrm>
                        <a:prstGeom prst="roundRect">
                          <a:avLst>
                            <a:gd name="adj" fmla="val 891"/>
                          </a:avLst>
                        </a:prstGeom>
                        <a:solidFill>
                          <a:schemeClr val="tx1">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1B210D" w14:textId="77777777" w:rsidR="00683008" w:rsidRDefault="00683008" w:rsidP="00BB389F">
                            <w:pPr>
                              <w:spacing w:before="0" w:beforeAutospacing="0" w:after="0" w:afterAutospacing="0"/>
                              <w:ind w:left="284" w:right="272"/>
                              <w:jc w:val="center"/>
                              <w:rPr>
                                <w:b/>
                                <w:color w:val="FFFFFF" w:themeColor="background1"/>
                              </w:rPr>
                            </w:pPr>
                            <w:r w:rsidRPr="00F37A9F">
                              <w:rPr>
                                <w:b/>
                                <w:color w:val="FFFFFF" w:themeColor="background1"/>
                              </w:rPr>
                              <w:t>ICT Disaster Recovery in Action</w:t>
                            </w:r>
                          </w:p>
                          <w:p w14:paraId="31E4A42A" w14:textId="77777777" w:rsidR="003C0CF6" w:rsidRPr="00F37A9F" w:rsidRDefault="003C0CF6" w:rsidP="00BB389F">
                            <w:pPr>
                              <w:spacing w:before="0" w:beforeAutospacing="0" w:after="0" w:afterAutospacing="0"/>
                              <w:ind w:left="284" w:right="272"/>
                              <w:jc w:val="center"/>
                              <w:rPr>
                                <w:b/>
                                <w:color w:val="FFFFFF" w:themeColor="background1"/>
                              </w:rPr>
                            </w:pPr>
                          </w:p>
                          <w:p w14:paraId="22CFE7FC" w14:textId="4D62E236" w:rsidR="00683008" w:rsidRPr="00F37A9F" w:rsidRDefault="00683008" w:rsidP="00BB389F">
                            <w:pPr>
                              <w:spacing w:before="0" w:beforeAutospacing="0" w:after="0" w:afterAutospacing="0"/>
                              <w:ind w:left="284" w:right="272"/>
                              <w:rPr>
                                <w:color w:val="FFFFFF" w:themeColor="background1"/>
                              </w:rPr>
                            </w:pPr>
                            <w:r w:rsidRPr="00F37A9F">
                              <w:rPr>
                                <w:color w:val="FFFFFF" w:themeColor="background1"/>
                              </w:rPr>
                              <w:t>In 2016, a Western Australian agency suffered the disruption of its primary data centre during a major storm.  This data centre hosted a public facing system critical to agency business.</w:t>
                            </w:r>
                          </w:p>
                          <w:p w14:paraId="1D03767B" w14:textId="77777777" w:rsidR="00683008" w:rsidRPr="00F37A9F" w:rsidRDefault="00683008" w:rsidP="00BB389F">
                            <w:pPr>
                              <w:spacing w:before="0" w:beforeAutospacing="0" w:after="0" w:afterAutospacing="0"/>
                              <w:ind w:left="284" w:right="272"/>
                              <w:rPr>
                                <w:color w:val="FFFFFF" w:themeColor="background1"/>
                              </w:rPr>
                            </w:pPr>
                            <w:r w:rsidRPr="00F37A9F">
                              <w:rPr>
                                <w:color w:val="FFFFFF" w:themeColor="background1"/>
                              </w:rPr>
                              <w:t>Because the agency had designed and architected the system based upon business impact analysis, the system was only affected for the 5 minutes it took for it to fail-over to the secondary facility – well within the business-defined tolerances.</w:t>
                            </w:r>
                          </w:p>
                          <w:p w14:paraId="20FA8680" w14:textId="233EC603" w:rsidR="00683008" w:rsidRPr="00BB389F" w:rsidRDefault="00683008" w:rsidP="00BB389F">
                            <w:pPr>
                              <w:spacing w:before="0" w:beforeAutospacing="0" w:after="0" w:afterAutospacing="0"/>
                              <w:ind w:left="284" w:right="272"/>
                              <w:rPr>
                                <w:color w:val="FFFFFF" w:themeColor="background1"/>
                              </w:rPr>
                            </w:pPr>
                            <w:r w:rsidRPr="00F37A9F">
                              <w:rPr>
                                <w:color w:val="FFFFFF" w:themeColor="background1"/>
                              </w:rPr>
                              <w:t>By consulting with their business, the agency was able to design and architect a system that delivered agency and community service needs despite the protracted outage of a primary facility.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2EDE7F" id="Rounded Rectangle 9" o:spid="_x0000_s1030" style="position:absolute;left:0;text-align:left;margin-left:220.05pt;margin-top:.6pt;width:234.2pt;height:310.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" fillcolor="#003b5f [1613]" stroked="f" strokeweight=".5pt">
                <v:textbox>
                  <w:txbxContent>
                    <w:p w14:paraId="631B210D" w14:textId="77777777" w:rsidR="00683008" w:rsidRDefault="00683008" w:rsidP="00BB389F">
                      <w:pPr>
                        <w:spacing w:before="0" w:beforeAutospacing="0" w:after="0" w:afterAutospacing="0"/>
                        <w:ind w:left="284" w:right="272"/>
                        <w:jc w:val="center"/>
                        <w:rPr>
                          <w:b/>
                          <w:color w:val="FFFFFF" w:themeColor="background1"/>
                        </w:rPr>
                      </w:pPr>
                      <w:r w:rsidRPr="00F37A9F">
                        <w:rPr>
                          <w:b/>
                          <w:color w:val="FFFFFF" w:themeColor="background1"/>
                        </w:rPr>
                        <w:t>ICT Disaster Recovery in Action</w:t>
                      </w:r>
                    </w:p>
                    <w:p w14:paraId="31E4A42A" w14:textId="77777777" w:rsidR="003C0CF6" w:rsidRPr="00F37A9F" w:rsidRDefault="003C0CF6" w:rsidP="00BB389F">
                      <w:pPr>
                        <w:spacing w:before="0" w:beforeAutospacing="0" w:after="0" w:afterAutospacing="0"/>
                        <w:ind w:left="284" w:right="272"/>
                        <w:jc w:val="center"/>
                        <w:rPr>
                          <w:b/>
                          <w:color w:val="FFFFFF" w:themeColor="background1"/>
                        </w:rPr>
                      </w:pPr>
                    </w:p>
                    <w:p w14:paraId="22CFE7FC" w14:textId="4D62E236" w:rsidR="00683008" w:rsidRPr="00F37A9F" w:rsidRDefault="00683008" w:rsidP="00BB389F">
                      <w:pPr>
                        <w:spacing w:before="0" w:beforeAutospacing="0" w:after="0" w:afterAutospacing="0"/>
                        <w:ind w:left="284" w:right="272"/>
                        <w:rPr>
                          <w:color w:val="FFFFFF" w:themeColor="background1"/>
                        </w:rPr>
                      </w:pPr>
                      <w:r w:rsidRPr="00F37A9F">
                        <w:rPr>
                          <w:color w:val="FFFFFF" w:themeColor="background1"/>
                        </w:rPr>
                        <w:t>In 2016, a Western Australian agency suffered the disruption of its primary data centre during a major storm.  This data centre hosted a public facing system critical to agency business.</w:t>
                      </w:r>
                    </w:p>
                    <w:p w14:paraId="1D03767B" w14:textId="77777777" w:rsidR="00683008" w:rsidRPr="00F37A9F" w:rsidRDefault="00683008" w:rsidP="00BB389F">
                      <w:pPr>
                        <w:spacing w:before="0" w:beforeAutospacing="0" w:after="0" w:afterAutospacing="0"/>
                        <w:ind w:left="284" w:right="272"/>
                        <w:rPr>
                          <w:color w:val="FFFFFF" w:themeColor="background1"/>
                        </w:rPr>
                      </w:pPr>
                      <w:r w:rsidRPr="00F37A9F">
                        <w:rPr>
                          <w:color w:val="FFFFFF" w:themeColor="background1"/>
                        </w:rPr>
                        <w:t>Because the agency had designed and architected the system based upon business impact analysis, the system was only affected for the 5 minutes it took for it to fail-over to the secondary facility – well within the business-defined tolerances.</w:t>
                      </w:r>
                    </w:p>
                    <w:p w14:paraId="20FA8680" w14:textId="233EC603" w:rsidR="00683008" w:rsidRPr="00BB389F" w:rsidRDefault="00683008" w:rsidP="00BB389F">
                      <w:pPr>
                        <w:spacing w:before="0" w:beforeAutospacing="0" w:after="0" w:afterAutospacing="0"/>
                        <w:ind w:left="284" w:right="272"/>
                        <w:rPr>
                          <w:color w:val="FFFFFF" w:themeColor="background1"/>
                        </w:rPr>
                      </w:pPr>
                      <w:r w:rsidRPr="00F37A9F">
                        <w:rPr>
                          <w:color w:val="FFFFFF" w:themeColor="background1"/>
                        </w:rPr>
                        <w:t>By consulting with their business, the agency was able to design and architect a system that delivered agency and community service needs despite the protracted outage of a primary facility.</w:t>
                      </w:r>
                    </w:p>
                  </w:txbxContent>
                </v:textbox>
                <w10:wrap type="square"/>
              </v:roundrect>
            </w:pict>
          </mc:Fallback>
        </mc:AlternateContent>
      </w:r>
      <w:r w:rsidR="00B37E9D">
        <w:t xml:space="preserve">Each agency will have a different approach to testing its ICT disaster recovery capabilities and arrangements. </w:t>
      </w:r>
      <w:r w:rsidR="00BB5CB7">
        <w:t xml:space="preserve"> </w:t>
      </w:r>
      <w:r w:rsidR="00B37E9D">
        <w:t xml:space="preserve">The testing method and frequency </w:t>
      </w:r>
      <w:r w:rsidR="00BB5CB7">
        <w:t xml:space="preserve">should </w:t>
      </w:r>
      <w:r w:rsidR="00B37E9D">
        <w:t>balance costs and time, and reflect the agency’s risk profile.</w:t>
      </w:r>
      <w:r w:rsidR="00BB5CB7">
        <w:t xml:space="preserve">  Agencies are encouraged to develop a risk-based testing schedule</w:t>
      </w:r>
      <w:r w:rsidR="00EB3E8D">
        <w:t xml:space="preserve"> informed by </w:t>
      </w:r>
      <w:r w:rsidR="00BB5CB7">
        <w:t>business impact analysis.  T</w:t>
      </w:r>
      <w:r w:rsidR="00506956">
        <w:t>his will ensure that</w:t>
      </w:r>
      <w:r w:rsidR="00BB5CB7">
        <w:t xml:space="preserve"> the regularity of a system’s ICT disaster recovery </w:t>
      </w:r>
      <w:r w:rsidR="00EB3E8D">
        <w:t xml:space="preserve">testing </w:t>
      </w:r>
      <w:r w:rsidR="00BB5CB7">
        <w:t>should reflect its criticality to the business.</w:t>
      </w:r>
    </w:p>
    <w:p w14:paraId="3934DBAA" w14:textId="79AF1316" w:rsidR="00EB3E8D" w:rsidRDefault="00EB3E8D" w:rsidP="00EB3E8D">
      <w:r>
        <w:t>It is important to test the ICT disaster recovery capabilities in a manner that will give assurance that the technology and methods chosen will work as expected should they be required.</w:t>
      </w:r>
      <w:r w:rsidRPr="00EB3E8D">
        <w:t xml:space="preserve"> </w:t>
      </w:r>
    </w:p>
    <w:p w14:paraId="5D99454A" w14:textId="7A1139E9" w:rsidR="00EB3E8D" w:rsidRDefault="00EB3E8D" w:rsidP="00EB3E8D">
      <w:r>
        <w:t xml:space="preserve">Any testing plans and activities, and their results, should be escalated to the risk management body, so they can be informed about outstanding risks and ensure appropriate action is taken.  For ICT practitioners, this can be an important step in making a case for additional funding where investment in ICT disaster recovery is required.  </w:t>
      </w:r>
      <w:r w:rsidR="00E12CCC">
        <w:t>Test results</w:t>
      </w:r>
      <w:r>
        <w:t xml:space="preserve">, or </w:t>
      </w:r>
      <w:r w:rsidR="00E12CCC">
        <w:t xml:space="preserve">identified </w:t>
      </w:r>
      <w:r>
        <w:t>shortfalls in ICT disaster recovery capability</w:t>
      </w:r>
      <w:r w:rsidR="00E12CCC">
        <w:t>, should be presented</w:t>
      </w:r>
      <w:r>
        <w:t xml:space="preserve"> in terms of their relationship to important agency services</w:t>
      </w:r>
      <w:r w:rsidR="00E12CCC">
        <w:t>.  This</w:t>
      </w:r>
      <w:r>
        <w:t xml:space="preserve"> will help business people understand their importance</w:t>
      </w:r>
      <w:r w:rsidR="00E42FDC">
        <w:t>,</w:t>
      </w:r>
      <w:r w:rsidR="00E12CCC">
        <w:t xml:space="preserve"> and enable</w:t>
      </w:r>
      <w:r>
        <w:t xml:space="preserve"> risk owners to make informed decisions </w:t>
      </w:r>
      <w:r w:rsidR="00E42FDC">
        <w:t>regarding</w:t>
      </w:r>
      <w:r>
        <w:t xml:space="preserve"> accept</w:t>
      </w:r>
      <w:r w:rsidR="00E42FDC">
        <w:t>ing</w:t>
      </w:r>
      <w:r>
        <w:t xml:space="preserve"> a risk or take action to treat it.</w:t>
      </w:r>
    </w:p>
    <w:p w14:paraId="49801B2A" w14:textId="060FB485" w:rsidR="00EB3E8D" w:rsidRDefault="00EB3E8D" w:rsidP="00EB3E8D">
      <w:r>
        <w:t>Most importantly, reporting risks to the risk management body ensures that the appropriate parties are aware of, and accountable for, outstanding risks due to inadequate ICT disaster recovery arrangements.</w:t>
      </w:r>
    </w:p>
    <w:p w14:paraId="3B76ABEC" w14:textId="5913CC10" w:rsidR="00EB3E8D" w:rsidRDefault="00EB3E8D" w:rsidP="00991A42">
      <w:pPr>
        <w:pStyle w:val="Heading2"/>
      </w:pPr>
      <w:r>
        <w:t xml:space="preserve">Continuous </w:t>
      </w:r>
      <w:r w:rsidR="00D45B52">
        <w:t>I</w:t>
      </w:r>
      <w:r>
        <w:t>mprovement</w:t>
      </w:r>
    </w:p>
    <w:p w14:paraId="415D0B33" w14:textId="6F5A2680" w:rsidR="00B37E9D" w:rsidRDefault="00BB5CB7" w:rsidP="00B37E9D">
      <w:r>
        <w:t xml:space="preserve">The Policy states that agencies should review their ICT disaster recovery arrangements at least every 12 months.  The intent is that agencies will formally review the relevance and currency of their arrangements annually.  </w:t>
      </w:r>
      <w:r w:rsidR="00B37E9D">
        <w:t>This does not mean that every system need be tested at the same time</w:t>
      </w:r>
      <w:r w:rsidR="00EB3E8D">
        <w:t>,</w:t>
      </w:r>
      <w:r>
        <w:t xml:space="preserve"> or every year.</w:t>
      </w:r>
    </w:p>
    <w:p w14:paraId="17EEDD1C" w14:textId="2DDF4815" w:rsidR="00D87E12" w:rsidRDefault="00C97393" w:rsidP="00A773B5">
      <w:r>
        <w:t xml:space="preserve">An agency’s </w:t>
      </w:r>
      <w:r w:rsidR="00835C02">
        <w:t xml:space="preserve">corporate </w:t>
      </w:r>
      <w:r w:rsidR="00D87E12">
        <w:t xml:space="preserve">risk management body is responsible for </w:t>
      </w:r>
      <w:r>
        <w:t xml:space="preserve">approving an </w:t>
      </w:r>
      <w:r w:rsidR="00D87E12">
        <w:t xml:space="preserve">annual testing regime </w:t>
      </w:r>
      <w:r>
        <w:t xml:space="preserve">of </w:t>
      </w:r>
      <w:r w:rsidR="00D87E12">
        <w:t xml:space="preserve">systems based upon criticality and risk.  </w:t>
      </w:r>
      <w:r>
        <w:t xml:space="preserve">This includes the systems to be tested and frequency of testing.  </w:t>
      </w:r>
      <w:r w:rsidR="00D87E12">
        <w:t xml:space="preserve">The </w:t>
      </w:r>
      <w:r>
        <w:t xml:space="preserve">risk management </w:t>
      </w:r>
      <w:r w:rsidR="00D87E12">
        <w:t xml:space="preserve">body is also responsible for </w:t>
      </w:r>
      <w:r>
        <w:t xml:space="preserve">approving </w:t>
      </w:r>
      <w:r w:rsidR="00D87E12">
        <w:t xml:space="preserve">the </w:t>
      </w:r>
      <w:r>
        <w:t xml:space="preserve">classification </w:t>
      </w:r>
      <w:r w:rsidR="00D87E12">
        <w:t>of business systems</w:t>
      </w:r>
      <w:r>
        <w:t xml:space="preserve"> in terms of criticality</w:t>
      </w:r>
      <w:r w:rsidR="00227F81">
        <w:t>.</w:t>
      </w:r>
    </w:p>
    <w:p w14:paraId="3E354470" w14:textId="3A1E5074" w:rsidR="00A773B5" w:rsidRDefault="000008C4" w:rsidP="00A773B5">
      <w:r>
        <w:t>Business continuity management and disaster recovery is a process of continuous improvement, and agencies are strongly encouraged to ensure they have the necessary skills and capabilities to guarantee ongoing risk management for their business.</w:t>
      </w:r>
      <w:r w:rsidR="00A773B5">
        <w:t xml:space="preserve">  Continuous improvement is also about making sure that the relevant governance, planning and testing arrangements are working.  Where issues or failures are reported to the risk management body, action must be taken to resolve them</w:t>
      </w:r>
      <w:r w:rsidR="002B7469">
        <w:t xml:space="preserve">.  </w:t>
      </w:r>
      <w:r w:rsidR="00C2598F">
        <w:t xml:space="preserve">This should include </w:t>
      </w:r>
      <w:r w:rsidR="00A773B5">
        <w:t xml:space="preserve">root cause analysis, and investigation of all relevant issues from governance down to technical </w:t>
      </w:r>
      <w:r w:rsidR="001B52AF">
        <w:t>faults</w:t>
      </w:r>
      <w:r w:rsidR="00A773B5">
        <w:t>.</w:t>
      </w:r>
    </w:p>
    <w:p w14:paraId="1C8F5063" w14:textId="5C3A9FCE" w:rsidR="00A773B5" w:rsidRDefault="00A773B5" w:rsidP="00A773B5">
      <w:r>
        <w:t xml:space="preserve">Continuous improvement requires not only resolving individual issues, but maintaining the health, effectiveness and relevance of an agency’s ICT disaster recovery capability to support business continuity </w:t>
      </w:r>
      <w:r w:rsidR="00E42FDC">
        <w:t>capabilities</w:t>
      </w:r>
      <w:r>
        <w:t>.</w:t>
      </w:r>
    </w:p>
    <w:p w14:paraId="5149DEF1" w14:textId="57AF76E2" w:rsidR="00CB103D" w:rsidRDefault="00CB103D" w:rsidP="00991A42">
      <w:pPr>
        <w:rPr>
          <w:rStyle w:val="Strong"/>
        </w:rPr>
      </w:pPr>
      <w:r w:rsidRPr="002510E7">
        <w:rPr>
          <w:rStyle w:val="Strong"/>
        </w:rPr>
        <w:t>Checklist</w:t>
      </w:r>
      <w:r w:rsidR="005F42EE">
        <w:rPr>
          <w:rStyle w:val="Strong"/>
        </w:rPr>
        <w:t>:</w:t>
      </w:r>
    </w:p>
    <w:p w14:paraId="756C45C7" w14:textId="357A43C0" w:rsidR="008B3B00" w:rsidRDefault="0074437E" w:rsidP="00991A42">
      <w:pPr>
        <w:pStyle w:val="ListParagraph"/>
        <w:numPr>
          <w:ilvl w:val="0"/>
          <w:numId w:val="23"/>
        </w:numPr>
        <w:contextualSpacing w:val="0"/>
        <w:rPr>
          <w:rStyle w:val="Strong"/>
        </w:rPr>
      </w:pPr>
      <w:r>
        <w:rPr>
          <w:rStyle w:val="Strong"/>
        </w:rPr>
        <w:t>ICT d</w:t>
      </w:r>
      <w:r w:rsidR="0005528C">
        <w:rPr>
          <w:rStyle w:val="Strong"/>
        </w:rPr>
        <w:t>isaster recovery arrangements</w:t>
      </w:r>
      <w:r w:rsidR="008B3B00">
        <w:rPr>
          <w:rStyle w:val="Strong"/>
        </w:rPr>
        <w:t>, including the testing schedule</w:t>
      </w:r>
      <w:r w:rsidR="0005528C">
        <w:rPr>
          <w:rStyle w:val="Strong"/>
        </w:rPr>
        <w:t xml:space="preserve"> are </w:t>
      </w:r>
      <w:r w:rsidR="008B3B00">
        <w:rPr>
          <w:rStyle w:val="Strong"/>
        </w:rPr>
        <w:t>risk</w:t>
      </w:r>
      <w:r w:rsidR="00FA18C1">
        <w:rPr>
          <w:rStyle w:val="Strong"/>
        </w:rPr>
        <w:t>-</w:t>
      </w:r>
      <w:r w:rsidR="008B3B00">
        <w:rPr>
          <w:rStyle w:val="Strong"/>
        </w:rPr>
        <w:t>based, and reviewed annually</w:t>
      </w:r>
      <w:r>
        <w:rPr>
          <w:rStyle w:val="Strong"/>
        </w:rPr>
        <w:t>.</w:t>
      </w:r>
    </w:p>
    <w:p w14:paraId="6A3E364D" w14:textId="55BDE37F" w:rsidR="0005528C" w:rsidRDefault="0074437E" w:rsidP="00991A42">
      <w:pPr>
        <w:pStyle w:val="ListParagraph"/>
        <w:numPr>
          <w:ilvl w:val="0"/>
          <w:numId w:val="23"/>
        </w:numPr>
        <w:contextualSpacing w:val="0"/>
        <w:rPr>
          <w:rStyle w:val="Strong"/>
        </w:rPr>
      </w:pPr>
      <w:r>
        <w:rPr>
          <w:rStyle w:val="Strong"/>
        </w:rPr>
        <w:t>The regularity of testing detailed in the schedule is reflective of the criticality of the systems to the business.</w:t>
      </w:r>
    </w:p>
    <w:p w14:paraId="77E122C8" w14:textId="78221230" w:rsidR="001B52AF" w:rsidRDefault="0074437E" w:rsidP="00991A42">
      <w:pPr>
        <w:pStyle w:val="ListParagraph"/>
        <w:numPr>
          <w:ilvl w:val="0"/>
          <w:numId w:val="23"/>
        </w:numPr>
        <w:contextualSpacing w:val="0"/>
        <w:rPr>
          <w:rStyle w:val="Strong"/>
        </w:rPr>
      </w:pPr>
      <w:r>
        <w:rPr>
          <w:rStyle w:val="Strong"/>
        </w:rPr>
        <w:t xml:space="preserve">ICT Disaster recovery arrangements </w:t>
      </w:r>
      <w:r w:rsidR="008B3B00">
        <w:rPr>
          <w:rStyle w:val="Strong"/>
        </w:rPr>
        <w:t xml:space="preserve">are </w:t>
      </w:r>
      <w:r w:rsidR="0005528C">
        <w:rPr>
          <w:rStyle w:val="Strong"/>
        </w:rPr>
        <w:t>approved annually by the corporate risk management body</w:t>
      </w:r>
      <w:r w:rsidR="001B52AF">
        <w:rPr>
          <w:rStyle w:val="Strong"/>
        </w:rPr>
        <w:t>.</w:t>
      </w:r>
    </w:p>
    <w:p w14:paraId="04EEE606" w14:textId="17AADC97" w:rsidR="001B52AF" w:rsidRDefault="001B52AF" w:rsidP="00991A42">
      <w:pPr>
        <w:pStyle w:val="ListParagraph"/>
        <w:numPr>
          <w:ilvl w:val="0"/>
          <w:numId w:val="23"/>
        </w:numPr>
        <w:contextualSpacing w:val="0"/>
        <w:rPr>
          <w:rStyle w:val="Strong"/>
        </w:rPr>
      </w:pPr>
      <w:r>
        <w:rPr>
          <w:rStyle w:val="Strong"/>
        </w:rPr>
        <w:t>ICT practitioners are reporting the outcomes of testing to the risk management body.</w:t>
      </w:r>
    </w:p>
    <w:p w14:paraId="75B69233" w14:textId="4E20B08D" w:rsidR="00B37E9D" w:rsidRDefault="00A773B5" w:rsidP="00991A42">
      <w:pPr>
        <w:pStyle w:val="ListParagraph"/>
        <w:numPr>
          <w:ilvl w:val="0"/>
          <w:numId w:val="23"/>
        </w:numPr>
        <w:contextualSpacing w:val="0"/>
        <w:rPr>
          <w:rStyle w:val="Strong"/>
        </w:rPr>
      </w:pPr>
      <w:r>
        <w:rPr>
          <w:rStyle w:val="Strong"/>
        </w:rPr>
        <w:t>R</w:t>
      </w:r>
      <w:r w:rsidR="00B37E9D">
        <w:rPr>
          <w:rStyle w:val="Strong"/>
        </w:rPr>
        <w:t xml:space="preserve">oot causes of </w:t>
      </w:r>
      <w:r>
        <w:rPr>
          <w:rStyle w:val="Strong"/>
        </w:rPr>
        <w:t xml:space="preserve">incidents and disruptions are </w:t>
      </w:r>
      <w:r w:rsidR="00B37E9D">
        <w:rPr>
          <w:rStyle w:val="Strong"/>
        </w:rPr>
        <w:t>investigated</w:t>
      </w:r>
      <w:r>
        <w:rPr>
          <w:rStyle w:val="Strong"/>
        </w:rPr>
        <w:t>.</w:t>
      </w:r>
    </w:p>
    <w:p w14:paraId="34A61E9E" w14:textId="1470450D" w:rsidR="003308B3" w:rsidRPr="00991162" w:rsidRDefault="003308B3" w:rsidP="00991A42">
      <w:pPr>
        <w:pStyle w:val="ListParagraph"/>
        <w:numPr>
          <w:ilvl w:val="0"/>
          <w:numId w:val="22"/>
        </w:numPr>
        <w:contextualSpacing w:val="0"/>
        <w:rPr>
          <w:rStyle w:val="Strong"/>
          <w:b w:val="0"/>
          <w:bCs w:val="0"/>
        </w:rPr>
      </w:pPr>
      <w:r>
        <w:rPr>
          <w:rStyle w:val="Strong"/>
        </w:rPr>
        <w:t>Changes to business processes that impact on system criticality are reflected in the ICT disaster recovery arrangements.</w:t>
      </w:r>
    </w:p>
    <w:p w14:paraId="5CA71AED" w14:textId="77777777" w:rsidR="0052676F" w:rsidRPr="001B52AF" w:rsidRDefault="0052676F" w:rsidP="001B52AF">
      <w:pPr>
        <w:pStyle w:val="ListParagraph"/>
        <w:keepNext/>
        <w:numPr>
          <w:ilvl w:val="0"/>
          <w:numId w:val="23"/>
        </w:numPr>
        <w:rPr>
          <w:b/>
          <w:bCs/>
        </w:rPr>
        <w:sectPr w:rsidR="0052676F" w:rsidRPr="001B52AF" w:rsidSect="002305BF">
          <w:footerReference w:type="default" r:id="rId26"/>
          <w:pgSz w:w="11906" w:h="16838"/>
          <w:pgMar w:top="1440" w:right="1440" w:bottom="1440" w:left="1440" w:header="708" w:footer="708" w:gutter="0"/>
          <w:pgNumType w:start="1"/>
          <w:cols w:space="708"/>
          <w:docGrid w:linePitch="360"/>
        </w:sectPr>
      </w:pPr>
    </w:p>
    <w:p w14:paraId="056ED2A0" w14:textId="4A906D67" w:rsidR="00841669" w:rsidRDefault="0052676F" w:rsidP="00CE37F2">
      <w:pPr>
        <w:pStyle w:val="Heading1"/>
      </w:pPr>
      <w:r>
        <w:t xml:space="preserve">Appendix One: </w:t>
      </w:r>
      <w:r w:rsidR="00F02D33">
        <w:t xml:space="preserve">ICT Disaster Recovery: </w:t>
      </w:r>
      <w:r>
        <w:t xml:space="preserve">Business Impact Assessment </w:t>
      </w:r>
      <w:r w:rsidR="002C5C1C">
        <w:t>Example</w:t>
      </w:r>
    </w:p>
    <w:tbl>
      <w:tblPr>
        <w:tblW w:w="13905" w:type="dxa"/>
        <w:tblLook w:val="04A0" w:firstRow="1" w:lastRow="0" w:firstColumn="1" w:lastColumn="0" w:noHBand="0" w:noVBand="1"/>
      </w:tblPr>
      <w:tblGrid>
        <w:gridCol w:w="475"/>
        <w:gridCol w:w="1970"/>
        <w:gridCol w:w="3396"/>
        <w:gridCol w:w="2673"/>
        <w:gridCol w:w="2652"/>
        <w:gridCol w:w="2739"/>
      </w:tblGrid>
      <w:tr w:rsidR="00525E1E" w:rsidRPr="003A062E" w14:paraId="1C326FCC" w14:textId="77777777" w:rsidTr="00991A42">
        <w:trPr>
          <w:trHeight w:val="188"/>
        </w:trPr>
        <w:tc>
          <w:tcPr>
            <w:tcW w:w="475" w:type="dxa"/>
            <w:tcBorders>
              <w:top w:val="nil"/>
              <w:left w:val="nil"/>
              <w:bottom w:val="nil"/>
              <w:right w:val="nil"/>
            </w:tcBorders>
            <w:shd w:val="clear" w:color="auto" w:fill="auto"/>
            <w:noWrap/>
            <w:vAlign w:val="bottom"/>
            <w:hideMark/>
          </w:tcPr>
          <w:p w14:paraId="65717580" w14:textId="77777777" w:rsidR="003A062E" w:rsidRPr="003A062E" w:rsidRDefault="003A062E">
            <w:pPr>
              <w:spacing w:before="0" w:beforeAutospacing="0" w:after="0" w:afterAutospacing="0"/>
              <w:jc w:val="left"/>
              <w:rPr>
                <w:rFonts w:ascii="Times New Roman" w:eastAsia="Times New Roman" w:hAnsi="Times New Roman" w:cs="Times New Roman"/>
                <w:sz w:val="20"/>
                <w:szCs w:val="24"/>
                <w:lang w:eastAsia="en-AU"/>
              </w:rPr>
            </w:pPr>
          </w:p>
        </w:tc>
        <w:tc>
          <w:tcPr>
            <w:tcW w:w="1970" w:type="dxa"/>
            <w:tcBorders>
              <w:top w:val="nil"/>
              <w:left w:val="nil"/>
              <w:bottom w:val="nil"/>
              <w:right w:val="nil"/>
            </w:tcBorders>
            <w:shd w:val="clear" w:color="auto" w:fill="auto"/>
            <w:noWrap/>
            <w:vAlign w:val="center"/>
            <w:hideMark/>
          </w:tcPr>
          <w:p w14:paraId="4CB58BA9" w14:textId="77777777" w:rsidR="003A062E" w:rsidRPr="00CE37F2" w:rsidRDefault="003A062E" w:rsidP="001B52AF">
            <w:pPr>
              <w:spacing w:before="0" w:beforeAutospacing="0" w:after="0" w:afterAutospacing="0"/>
              <w:jc w:val="center"/>
              <w:rPr>
                <w:rFonts w:ascii="Times New Roman" w:eastAsia="Times New Roman" w:hAnsi="Times New Roman" w:cs="Times New Roman"/>
                <w:sz w:val="20"/>
                <w:szCs w:val="20"/>
                <w:lang w:eastAsia="en-AU"/>
              </w:rPr>
            </w:pPr>
          </w:p>
        </w:tc>
        <w:tc>
          <w:tcPr>
            <w:tcW w:w="11460" w:type="dxa"/>
            <w:gridSpan w:val="4"/>
            <w:tcBorders>
              <w:top w:val="single" w:sz="8" w:space="0" w:color="auto"/>
              <w:left w:val="single" w:sz="8" w:space="0" w:color="auto"/>
              <w:bottom w:val="nil"/>
              <w:right w:val="single" w:sz="8" w:space="0" w:color="000000"/>
            </w:tcBorders>
            <w:shd w:val="clear" w:color="000000" w:fill="5B9BD5"/>
            <w:noWrap/>
            <w:vAlign w:val="center"/>
            <w:hideMark/>
          </w:tcPr>
          <w:p w14:paraId="6BBBBC44" w14:textId="7E98013C" w:rsidR="003A062E" w:rsidRPr="00CE37F2" w:rsidRDefault="003A062E" w:rsidP="001B52AF">
            <w:pPr>
              <w:spacing w:before="0" w:beforeAutospacing="0" w:after="0" w:afterAutospacing="0"/>
              <w:jc w:val="center"/>
              <w:rPr>
                <w:rFonts w:eastAsia="Times New Roman"/>
                <w:color w:val="FFFFFF"/>
                <w:sz w:val="20"/>
                <w:szCs w:val="20"/>
                <w:lang w:eastAsia="en-AU"/>
              </w:rPr>
            </w:pPr>
            <w:r w:rsidRPr="00CE37F2">
              <w:rPr>
                <w:rFonts w:eastAsia="Times New Roman"/>
                <w:color w:val="FFFFFF"/>
                <w:sz w:val="20"/>
                <w:szCs w:val="20"/>
                <w:lang w:eastAsia="en-AU"/>
              </w:rPr>
              <w:t>Government Service</w:t>
            </w:r>
          </w:p>
        </w:tc>
      </w:tr>
      <w:tr w:rsidR="00525E1E" w:rsidRPr="003A062E" w14:paraId="5B9C3B28" w14:textId="77777777" w:rsidTr="001B52AF">
        <w:trPr>
          <w:trHeight w:val="297"/>
        </w:trPr>
        <w:tc>
          <w:tcPr>
            <w:tcW w:w="475" w:type="dxa"/>
            <w:tcBorders>
              <w:top w:val="nil"/>
              <w:left w:val="nil"/>
              <w:bottom w:val="nil"/>
              <w:right w:val="nil"/>
            </w:tcBorders>
            <w:shd w:val="clear" w:color="auto" w:fill="auto"/>
            <w:noWrap/>
            <w:vAlign w:val="bottom"/>
            <w:hideMark/>
          </w:tcPr>
          <w:p w14:paraId="55F79896" w14:textId="77777777" w:rsidR="003A062E" w:rsidRPr="003A062E" w:rsidRDefault="003A062E" w:rsidP="003A062E">
            <w:pPr>
              <w:spacing w:before="0" w:beforeAutospacing="0" w:after="0" w:afterAutospacing="0"/>
              <w:jc w:val="center"/>
              <w:rPr>
                <w:rFonts w:eastAsia="Times New Roman"/>
                <w:color w:val="FFFFFF"/>
                <w:sz w:val="22"/>
                <w:szCs w:val="22"/>
                <w:lang w:eastAsia="en-AU"/>
              </w:rPr>
            </w:pPr>
          </w:p>
        </w:tc>
        <w:tc>
          <w:tcPr>
            <w:tcW w:w="1970" w:type="dxa"/>
            <w:tcBorders>
              <w:top w:val="nil"/>
              <w:left w:val="nil"/>
              <w:bottom w:val="nil"/>
              <w:right w:val="nil"/>
            </w:tcBorders>
            <w:shd w:val="clear" w:color="auto" w:fill="auto"/>
            <w:noWrap/>
            <w:vAlign w:val="center"/>
            <w:hideMark/>
          </w:tcPr>
          <w:p w14:paraId="16A5842B" w14:textId="77777777" w:rsidR="003A062E" w:rsidRPr="00CE37F2" w:rsidRDefault="003A062E" w:rsidP="001B52AF">
            <w:pPr>
              <w:spacing w:before="0" w:beforeAutospacing="0" w:after="0" w:afterAutospacing="0"/>
              <w:jc w:val="center"/>
              <w:rPr>
                <w:rFonts w:ascii="Times New Roman" w:eastAsia="Times New Roman" w:hAnsi="Times New Roman" w:cs="Times New Roman"/>
                <w:sz w:val="20"/>
                <w:szCs w:val="20"/>
                <w:lang w:eastAsia="en-AU"/>
              </w:rPr>
            </w:pPr>
          </w:p>
        </w:tc>
        <w:tc>
          <w:tcPr>
            <w:tcW w:w="6069" w:type="dxa"/>
            <w:gridSpan w:val="2"/>
            <w:tcBorders>
              <w:top w:val="single" w:sz="8" w:space="0" w:color="auto"/>
              <w:left w:val="single" w:sz="8" w:space="0" w:color="auto"/>
              <w:bottom w:val="single" w:sz="4" w:space="0" w:color="auto"/>
              <w:right w:val="single" w:sz="4" w:space="0" w:color="auto"/>
            </w:tcBorders>
            <w:shd w:val="clear" w:color="000000" w:fill="DDEBF7"/>
            <w:noWrap/>
            <w:vAlign w:val="center"/>
            <w:hideMark/>
          </w:tcPr>
          <w:p w14:paraId="66CC18A5" w14:textId="77777777" w:rsidR="003A062E" w:rsidRPr="00CE37F2" w:rsidRDefault="003A062E" w:rsidP="001B52AF">
            <w:pPr>
              <w:spacing w:before="0" w:beforeAutospacing="0" w:after="0" w:afterAutospacing="0"/>
              <w:jc w:val="center"/>
              <w:rPr>
                <w:rFonts w:eastAsia="Times New Roman"/>
                <w:color w:val="000000"/>
                <w:sz w:val="20"/>
                <w:szCs w:val="20"/>
                <w:lang w:eastAsia="en-AU"/>
              </w:rPr>
            </w:pPr>
            <w:r w:rsidRPr="00CE37F2">
              <w:rPr>
                <w:rFonts w:eastAsia="Times New Roman"/>
                <w:color w:val="000000"/>
                <w:sz w:val="20"/>
                <w:szCs w:val="20"/>
                <w:lang w:eastAsia="en-AU"/>
              </w:rPr>
              <w:t>Deliver key services relating to the support of an [example].</w:t>
            </w:r>
          </w:p>
        </w:tc>
        <w:tc>
          <w:tcPr>
            <w:tcW w:w="5391" w:type="dxa"/>
            <w:gridSpan w:val="2"/>
            <w:tcBorders>
              <w:top w:val="single" w:sz="8" w:space="0" w:color="auto"/>
              <w:left w:val="nil"/>
              <w:bottom w:val="single" w:sz="4" w:space="0" w:color="auto"/>
              <w:right w:val="single" w:sz="8" w:space="0" w:color="000000"/>
            </w:tcBorders>
            <w:shd w:val="clear" w:color="000000" w:fill="DDEBF7"/>
            <w:noWrap/>
            <w:vAlign w:val="center"/>
            <w:hideMark/>
          </w:tcPr>
          <w:p w14:paraId="3EDA6688" w14:textId="77777777" w:rsidR="003A062E" w:rsidRPr="00CE37F2" w:rsidRDefault="003A062E" w:rsidP="001B52AF">
            <w:pPr>
              <w:spacing w:before="0" w:beforeAutospacing="0" w:after="0" w:afterAutospacing="0"/>
              <w:jc w:val="center"/>
              <w:rPr>
                <w:rFonts w:eastAsia="Times New Roman"/>
                <w:color w:val="000000"/>
                <w:sz w:val="20"/>
                <w:szCs w:val="20"/>
                <w:lang w:eastAsia="en-AU"/>
              </w:rPr>
            </w:pPr>
            <w:r w:rsidRPr="00CE37F2">
              <w:rPr>
                <w:rFonts w:eastAsia="Times New Roman"/>
                <w:color w:val="000000"/>
                <w:sz w:val="20"/>
                <w:szCs w:val="20"/>
                <w:lang w:eastAsia="en-AU"/>
              </w:rPr>
              <w:t>Provide frontline [example] services</w:t>
            </w:r>
          </w:p>
        </w:tc>
      </w:tr>
      <w:tr w:rsidR="00525E1E" w:rsidRPr="003A062E" w14:paraId="0F8EE5EC" w14:textId="77777777" w:rsidTr="00991A42">
        <w:trPr>
          <w:trHeight w:val="278"/>
        </w:trPr>
        <w:tc>
          <w:tcPr>
            <w:tcW w:w="475" w:type="dxa"/>
            <w:tcBorders>
              <w:top w:val="nil"/>
              <w:left w:val="nil"/>
              <w:bottom w:val="nil"/>
              <w:right w:val="nil"/>
            </w:tcBorders>
            <w:shd w:val="clear" w:color="auto" w:fill="auto"/>
            <w:noWrap/>
            <w:vAlign w:val="bottom"/>
            <w:hideMark/>
          </w:tcPr>
          <w:p w14:paraId="13965FE0" w14:textId="77777777" w:rsidR="003A062E" w:rsidRPr="003A062E" w:rsidRDefault="003A062E" w:rsidP="003A062E">
            <w:pPr>
              <w:spacing w:before="0" w:beforeAutospacing="0" w:after="0" w:afterAutospacing="0"/>
              <w:jc w:val="center"/>
              <w:rPr>
                <w:rFonts w:eastAsia="Times New Roman"/>
                <w:color w:val="000000"/>
                <w:sz w:val="22"/>
                <w:szCs w:val="22"/>
                <w:lang w:eastAsia="en-AU"/>
              </w:rPr>
            </w:pPr>
          </w:p>
        </w:tc>
        <w:tc>
          <w:tcPr>
            <w:tcW w:w="1970" w:type="dxa"/>
            <w:tcBorders>
              <w:top w:val="nil"/>
              <w:left w:val="nil"/>
              <w:bottom w:val="nil"/>
              <w:right w:val="nil"/>
            </w:tcBorders>
            <w:shd w:val="clear" w:color="auto" w:fill="auto"/>
            <w:noWrap/>
            <w:vAlign w:val="center"/>
            <w:hideMark/>
          </w:tcPr>
          <w:p w14:paraId="0AE8CEE6" w14:textId="77777777" w:rsidR="003A062E" w:rsidRPr="00CE37F2" w:rsidRDefault="003A062E" w:rsidP="001B52AF">
            <w:pPr>
              <w:spacing w:before="0" w:beforeAutospacing="0" w:after="0" w:afterAutospacing="0"/>
              <w:jc w:val="center"/>
              <w:rPr>
                <w:rFonts w:ascii="Times New Roman" w:eastAsia="Times New Roman" w:hAnsi="Times New Roman" w:cs="Times New Roman"/>
                <w:sz w:val="20"/>
                <w:szCs w:val="20"/>
                <w:lang w:eastAsia="en-AU"/>
              </w:rPr>
            </w:pPr>
          </w:p>
        </w:tc>
        <w:tc>
          <w:tcPr>
            <w:tcW w:w="6069" w:type="dxa"/>
            <w:gridSpan w:val="2"/>
            <w:tcBorders>
              <w:top w:val="single" w:sz="4" w:space="0" w:color="auto"/>
              <w:left w:val="single" w:sz="8" w:space="0" w:color="auto"/>
              <w:bottom w:val="nil"/>
              <w:right w:val="single" w:sz="4" w:space="0" w:color="auto"/>
            </w:tcBorders>
            <w:shd w:val="clear" w:color="000000" w:fill="5B9BD5"/>
            <w:noWrap/>
            <w:vAlign w:val="center"/>
            <w:hideMark/>
          </w:tcPr>
          <w:p w14:paraId="2055FBB6" w14:textId="77777777" w:rsidR="003A062E" w:rsidRPr="00CE37F2" w:rsidRDefault="003A062E" w:rsidP="001B52AF">
            <w:pPr>
              <w:spacing w:before="0" w:beforeAutospacing="0" w:after="0" w:afterAutospacing="0"/>
              <w:jc w:val="center"/>
              <w:rPr>
                <w:rFonts w:eastAsia="Times New Roman"/>
                <w:color w:val="FFFFFF"/>
                <w:sz w:val="20"/>
                <w:szCs w:val="20"/>
                <w:lang w:eastAsia="en-AU"/>
              </w:rPr>
            </w:pPr>
            <w:r w:rsidRPr="00CE37F2">
              <w:rPr>
                <w:rFonts w:eastAsia="Times New Roman"/>
                <w:color w:val="FFFFFF"/>
                <w:sz w:val="20"/>
                <w:szCs w:val="20"/>
                <w:lang w:eastAsia="en-AU"/>
              </w:rPr>
              <w:t>Business Function</w:t>
            </w:r>
          </w:p>
        </w:tc>
        <w:tc>
          <w:tcPr>
            <w:tcW w:w="5391" w:type="dxa"/>
            <w:gridSpan w:val="2"/>
            <w:tcBorders>
              <w:top w:val="single" w:sz="4" w:space="0" w:color="auto"/>
              <w:left w:val="nil"/>
              <w:bottom w:val="nil"/>
              <w:right w:val="single" w:sz="8" w:space="0" w:color="000000"/>
            </w:tcBorders>
            <w:shd w:val="clear" w:color="000000" w:fill="5B9BD5"/>
            <w:noWrap/>
            <w:vAlign w:val="center"/>
            <w:hideMark/>
          </w:tcPr>
          <w:p w14:paraId="1DA64AC3" w14:textId="77777777" w:rsidR="003A062E" w:rsidRPr="00CE37F2" w:rsidRDefault="003A062E" w:rsidP="001B52AF">
            <w:pPr>
              <w:spacing w:before="0" w:beforeAutospacing="0" w:after="0" w:afterAutospacing="0"/>
              <w:jc w:val="center"/>
              <w:rPr>
                <w:rFonts w:eastAsia="Times New Roman"/>
                <w:color w:val="FFFFFF"/>
                <w:sz w:val="20"/>
                <w:szCs w:val="20"/>
                <w:lang w:eastAsia="en-AU"/>
              </w:rPr>
            </w:pPr>
            <w:r w:rsidRPr="00CE37F2">
              <w:rPr>
                <w:rFonts w:eastAsia="Times New Roman"/>
                <w:color w:val="FFFFFF"/>
                <w:sz w:val="20"/>
                <w:szCs w:val="20"/>
                <w:lang w:eastAsia="en-AU"/>
              </w:rPr>
              <w:t>Business Function</w:t>
            </w:r>
          </w:p>
        </w:tc>
      </w:tr>
      <w:tr w:rsidR="00525E1E" w:rsidRPr="003A062E" w14:paraId="301EBFB3" w14:textId="77777777" w:rsidTr="001B52AF">
        <w:trPr>
          <w:trHeight w:val="297"/>
        </w:trPr>
        <w:tc>
          <w:tcPr>
            <w:tcW w:w="475" w:type="dxa"/>
            <w:tcBorders>
              <w:top w:val="nil"/>
              <w:left w:val="nil"/>
              <w:bottom w:val="nil"/>
              <w:right w:val="nil"/>
            </w:tcBorders>
            <w:shd w:val="clear" w:color="auto" w:fill="auto"/>
            <w:noWrap/>
            <w:vAlign w:val="bottom"/>
            <w:hideMark/>
          </w:tcPr>
          <w:p w14:paraId="7817425B" w14:textId="77777777" w:rsidR="003A062E" w:rsidRPr="003A062E" w:rsidRDefault="003A062E" w:rsidP="003A062E">
            <w:pPr>
              <w:spacing w:before="0" w:beforeAutospacing="0" w:after="0" w:afterAutospacing="0"/>
              <w:jc w:val="center"/>
              <w:rPr>
                <w:rFonts w:eastAsia="Times New Roman"/>
                <w:color w:val="FFFFFF"/>
                <w:sz w:val="22"/>
                <w:szCs w:val="22"/>
                <w:lang w:eastAsia="en-AU"/>
              </w:rPr>
            </w:pPr>
          </w:p>
        </w:tc>
        <w:tc>
          <w:tcPr>
            <w:tcW w:w="1970" w:type="dxa"/>
            <w:tcBorders>
              <w:top w:val="nil"/>
              <w:left w:val="nil"/>
              <w:bottom w:val="nil"/>
              <w:right w:val="nil"/>
            </w:tcBorders>
            <w:shd w:val="clear" w:color="auto" w:fill="auto"/>
            <w:noWrap/>
            <w:vAlign w:val="center"/>
            <w:hideMark/>
          </w:tcPr>
          <w:p w14:paraId="2F59A308" w14:textId="77777777" w:rsidR="003A062E" w:rsidRPr="00CE37F2" w:rsidRDefault="003A062E" w:rsidP="001B52AF">
            <w:pPr>
              <w:spacing w:before="0" w:beforeAutospacing="0" w:after="0" w:afterAutospacing="0"/>
              <w:jc w:val="center"/>
              <w:rPr>
                <w:rFonts w:ascii="Times New Roman" w:eastAsia="Times New Roman" w:hAnsi="Times New Roman" w:cs="Times New Roman"/>
                <w:sz w:val="20"/>
                <w:szCs w:val="20"/>
                <w:lang w:eastAsia="en-AU"/>
              </w:rPr>
            </w:pPr>
          </w:p>
        </w:tc>
        <w:tc>
          <w:tcPr>
            <w:tcW w:w="3396" w:type="dxa"/>
            <w:tcBorders>
              <w:top w:val="single" w:sz="8" w:space="0" w:color="auto"/>
              <w:left w:val="single" w:sz="8" w:space="0" w:color="auto"/>
              <w:bottom w:val="single" w:sz="4" w:space="0" w:color="auto"/>
              <w:right w:val="single" w:sz="8" w:space="0" w:color="auto"/>
            </w:tcBorders>
            <w:shd w:val="clear" w:color="000000" w:fill="DDEBF7"/>
            <w:noWrap/>
            <w:vAlign w:val="center"/>
            <w:hideMark/>
          </w:tcPr>
          <w:p w14:paraId="1CD03B0E" w14:textId="77777777" w:rsidR="003A062E" w:rsidRPr="00CE37F2" w:rsidRDefault="003A062E" w:rsidP="001B52AF">
            <w:pPr>
              <w:spacing w:before="0" w:beforeAutospacing="0" w:after="0" w:afterAutospacing="0"/>
              <w:jc w:val="center"/>
              <w:rPr>
                <w:rFonts w:eastAsia="Times New Roman"/>
                <w:color w:val="000000"/>
                <w:sz w:val="20"/>
                <w:szCs w:val="20"/>
                <w:lang w:eastAsia="en-AU"/>
              </w:rPr>
            </w:pPr>
            <w:r w:rsidRPr="00CE37F2">
              <w:rPr>
                <w:rFonts w:eastAsia="Times New Roman"/>
                <w:color w:val="000000"/>
                <w:sz w:val="20"/>
                <w:szCs w:val="20"/>
                <w:lang w:eastAsia="en-AU"/>
              </w:rPr>
              <w:t>Corporate Services</w:t>
            </w:r>
          </w:p>
        </w:tc>
        <w:tc>
          <w:tcPr>
            <w:tcW w:w="2673" w:type="dxa"/>
            <w:tcBorders>
              <w:top w:val="single" w:sz="8" w:space="0" w:color="auto"/>
              <w:left w:val="nil"/>
              <w:bottom w:val="single" w:sz="4" w:space="0" w:color="auto"/>
              <w:right w:val="single" w:sz="8" w:space="0" w:color="auto"/>
            </w:tcBorders>
            <w:shd w:val="clear" w:color="000000" w:fill="DDEBF7"/>
            <w:noWrap/>
            <w:vAlign w:val="center"/>
            <w:hideMark/>
          </w:tcPr>
          <w:p w14:paraId="7B76570F" w14:textId="77777777" w:rsidR="003A062E" w:rsidRPr="00CE37F2" w:rsidRDefault="003A062E" w:rsidP="001B52AF">
            <w:pPr>
              <w:spacing w:before="0" w:beforeAutospacing="0" w:after="0" w:afterAutospacing="0"/>
              <w:jc w:val="center"/>
              <w:rPr>
                <w:rFonts w:eastAsia="Times New Roman"/>
                <w:color w:val="000000"/>
                <w:sz w:val="20"/>
                <w:szCs w:val="20"/>
                <w:lang w:eastAsia="en-AU"/>
              </w:rPr>
            </w:pPr>
            <w:r w:rsidRPr="00CE37F2">
              <w:rPr>
                <w:rFonts w:eastAsia="Times New Roman"/>
                <w:color w:val="000000"/>
                <w:sz w:val="20"/>
                <w:szCs w:val="20"/>
                <w:lang w:eastAsia="en-AU"/>
              </w:rPr>
              <w:t>Records Management</w:t>
            </w:r>
          </w:p>
        </w:tc>
        <w:tc>
          <w:tcPr>
            <w:tcW w:w="2652" w:type="dxa"/>
            <w:tcBorders>
              <w:top w:val="single" w:sz="8" w:space="0" w:color="auto"/>
              <w:left w:val="nil"/>
              <w:bottom w:val="single" w:sz="4" w:space="0" w:color="auto"/>
              <w:right w:val="single" w:sz="8" w:space="0" w:color="auto"/>
            </w:tcBorders>
            <w:shd w:val="clear" w:color="000000" w:fill="DDEBF7"/>
            <w:noWrap/>
            <w:vAlign w:val="center"/>
            <w:hideMark/>
          </w:tcPr>
          <w:p w14:paraId="05F6C587" w14:textId="77777777" w:rsidR="003A062E" w:rsidRPr="00CE37F2" w:rsidRDefault="003A062E" w:rsidP="001B52AF">
            <w:pPr>
              <w:spacing w:before="0" w:beforeAutospacing="0" w:after="0" w:afterAutospacing="0"/>
              <w:jc w:val="center"/>
              <w:rPr>
                <w:rFonts w:eastAsia="Times New Roman"/>
                <w:color w:val="000000"/>
                <w:sz w:val="20"/>
                <w:szCs w:val="20"/>
                <w:lang w:eastAsia="en-AU"/>
              </w:rPr>
            </w:pPr>
            <w:r w:rsidRPr="00CE37F2">
              <w:rPr>
                <w:rFonts w:eastAsia="Times New Roman"/>
                <w:color w:val="000000"/>
                <w:sz w:val="20"/>
                <w:szCs w:val="20"/>
                <w:lang w:eastAsia="en-AU"/>
              </w:rPr>
              <w:t>Field-based [example] services</w:t>
            </w:r>
          </w:p>
        </w:tc>
        <w:tc>
          <w:tcPr>
            <w:tcW w:w="2739" w:type="dxa"/>
            <w:tcBorders>
              <w:top w:val="single" w:sz="8" w:space="0" w:color="auto"/>
              <w:left w:val="nil"/>
              <w:bottom w:val="single" w:sz="4" w:space="0" w:color="auto"/>
              <w:right w:val="single" w:sz="8" w:space="0" w:color="auto"/>
            </w:tcBorders>
            <w:shd w:val="clear" w:color="000000" w:fill="DDEBF7"/>
            <w:noWrap/>
            <w:vAlign w:val="center"/>
            <w:hideMark/>
          </w:tcPr>
          <w:p w14:paraId="67046EE2" w14:textId="77777777" w:rsidR="003A062E" w:rsidRPr="00CE37F2" w:rsidRDefault="003A062E" w:rsidP="001B52AF">
            <w:pPr>
              <w:spacing w:before="0" w:beforeAutospacing="0" w:after="0" w:afterAutospacing="0"/>
              <w:jc w:val="center"/>
              <w:rPr>
                <w:rFonts w:eastAsia="Times New Roman"/>
                <w:color w:val="000000"/>
                <w:sz w:val="20"/>
                <w:szCs w:val="20"/>
                <w:lang w:eastAsia="en-AU"/>
              </w:rPr>
            </w:pPr>
            <w:r w:rsidRPr="00CE37F2">
              <w:rPr>
                <w:rFonts w:eastAsia="Times New Roman"/>
                <w:color w:val="000000"/>
                <w:sz w:val="20"/>
                <w:szCs w:val="20"/>
                <w:lang w:eastAsia="en-AU"/>
              </w:rPr>
              <w:t>Office-based [example] services</w:t>
            </w:r>
          </w:p>
        </w:tc>
      </w:tr>
      <w:tr w:rsidR="00525E1E" w:rsidRPr="003A062E" w14:paraId="5324E7F3" w14:textId="77777777" w:rsidTr="00991A42">
        <w:trPr>
          <w:trHeight w:val="204"/>
        </w:trPr>
        <w:tc>
          <w:tcPr>
            <w:tcW w:w="475" w:type="dxa"/>
            <w:tcBorders>
              <w:top w:val="nil"/>
              <w:left w:val="nil"/>
              <w:bottom w:val="nil"/>
              <w:right w:val="nil"/>
            </w:tcBorders>
            <w:shd w:val="clear" w:color="auto" w:fill="auto"/>
            <w:noWrap/>
            <w:vAlign w:val="bottom"/>
            <w:hideMark/>
          </w:tcPr>
          <w:p w14:paraId="26AD0993" w14:textId="77777777" w:rsidR="003A062E" w:rsidRPr="003A062E" w:rsidRDefault="003A062E" w:rsidP="003A062E">
            <w:pPr>
              <w:spacing w:before="0" w:beforeAutospacing="0" w:after="0" w:afterAutospacing="0"/>
              <w:jc w:val="center"/>
              <w:rPr>
                <w:rFonts w:eastAsia="Times New Roman"/>
                <w:color w:val="000000"/>
                <w:sz w:val="22"/>
                <w:szCs w:val="22"/>
                <w:lang w:eastAsia="en-AU"/>
              </w:rPr>
            </w:pPr>
          </w:p>
        </w:tc>
        <w:tc>
          <w:tcPr>
            <w:tcW w:w="1970" w:type="dxa"/>
            <w:tcBorders>
              <w:top w:val="nil"/>
              <w:left w:val="nil"/>
              <w:bottom w:val="nil"/>
              <w:right w:val="nil"/>
            </w:tcBorders>
            <w:shd w:val="clear" w:color="auto" w:fill="auto"/>
            <w:noWrap/>
            <w:vAlign w:val="center"/>
            <w:hideMark/>
          </w:tcPr>
          <w:p w14:paraId="5755142F" w14:textId="77777777" w:rsidR="003A062E" w:rsidRPr="00CE37F2" w:rsidRDefault="003A062E" w:rsidP="001B52AF">
            <w:pPr>
              <w:spacing w:before="0" w:beforeAutospacing="0" w:after="0" w:afterAutospacing="0"/>
              <w:jc w:val="center"/>
              <w:rPr>
                <w:rFonts w:ascii="Times New Roman" w:eastAsia="Times New Roman" w:hAnsi="Times New Roman" w:cs="Times New Roman"/>
                <w:sz w:val="20"/>
                <w:szCs w:val="20"/>
                <w:lang w:eastAsia="en-AU"/>
              </w:rPr>
            </w:pPr>
          </w:p>
        </w:tc>
        <w:tc>
          <w:tcPr>
            <w:tcW w:w="3396" w:type="dxa"/>
            <w:tcBorders>
              <w:top w:val="nil"/>
              <w:left w:val="single" w:sz="8" w:space="0" w:color="auto"/>
              <w:bottom w:val="single" w:sz="4" w:space="0" w:color="auto"/>
              <w:right w:val="single" w:sz="8" w:space="0" w:color="auto"/>
            </w:tcBorders>
            <w:shd w:val="clear" w:color="000000" w:fill="5B9BD5"/>
            <w:noWrap/>
            <w:vAlign w:val="center"/>
            <w:hideMark/>
          </w:tcPr>
          <w:p w14:paraId="75F4295C" w14:textId="77777777" w:rsidR="003A062E" w:rsidRPr="00CE37F2" w:rsidRDefault="003A062E" w:rsidP="001B52AF">
            <w:pPr>
              <w:spacing w:before="0" w:beforeAutospacing="0" w:after="0" w:afterAutospacing="0"/>
              <w:jc w:val="center"/>
              <w:rPr>
                <w:rFonts w:eastAsia="Times New Roman"/>
                <w:color w:val="FFFFFF"/>
                <w:sz w:val="20"/>
                <w:szCs w:val="20"/>
                <w:lang w:eastAsia="en-AU"/>
              </w:rPr>
            </w:pPr>
            <w:r w:rsidRPr="00CE37F2">
              <w:rPr>
                <w:rFonts w:eastAsia="Times New Roman"/>
                <w:color w:val="FFFFFF"/>
                <w:sz w:val="20"/>
                <w:szCs w:val="20"/>
                <w:lang w:eastAsia="en-AU"/>
              </w:rPr>
              <w:t>Business Function Owner</w:t>
            </w:r>
          </w:p>
        </w:tc>
        <w:tc>
          <w:tcPr>
            <w:tcW w:w="2673" w:type="dxa"/>
            <w:tcBorders>
              <w:top w:val="nil"/>
              <w:left w:val="nil"/>
              <w:bottom w:val="single" w:sz="4" w:space="0" w:color="auto"/>
              <w:right w:val="single" w:sz="8" w:space="0" w:color="auto"/>
            </w:tcBorders>
            <w:shd w:val="clear" w:color="000000" w:fill="5B9BD5"/>
            <w:noWrap/>
            <w:vAlign w:val="center"/>
            <w:hideMark/>
          </w:tcPr>
          <w:p w14:paraId="32E3A9E8" w14:textId="77777777" w:rsidR="003A062E" w:rsidRPr="00CE37F2" w:rsidRDefault="003A062E" w:rsidP="001B52AF">
            <w:pPr>
              <w:spacing w:before="0" w:beforeAutospacing="0" w:after="0" w:afterAutospacing="0"/>
              <w:jc w:val="center"/>
              <w:rPr>
                <w:rFonts w:eastAsia="Times New Roman"/>
                <w:color w:val="FFFFFF"/>
                <w:sz w:val="20"/>
                <w:szCs w:val="20"/>
                <w:lang w:eastAsia="en-AU"/>
              </w:rPr>
            </w:pPr>
            <w:r w:rsidRPr="00CE37F2">
              <w:rPr>
                <w:rFonts w:eastAsia="Times New Roman"/>
                <w:color w:val="FFFFFF"/>
                <w:sz w:val="20"/>
                <w:szCs w:val="20"/>
                <w:lang w:eastAsia="en-AU"/>
              </w:rPr>
              <w:t>Business Function Owner</w:t>
            </w:r>
          </w:p>
        </w:tc>
        <w:tc>
          <w:tcPr>
            <w:tcW w:w="2652" w:type="dxa"/>
            <w:tcBorders>
              <w:top w:val="nil"/>
              <w:left w:val="nil"/>
              <w:bottom w:val="single" w:sz="4" w:space="0" w:color="auto"/>
              <w:right w:val="single" w:sz="8" w:space="0" w:color="auto"/>
            </w:tcBorders>
            <w:shd w:val="clear" w:color="000000" w:fill="5B9BD5"/>
            <w:noWrap/>
            <w:vAlign w:val="center"/>
            <w:hideMark/>
          </w:tcPr>
          <w:p w14:paraId="62F9E9F1" w14:textId="77777777" w:rsidR="003A062E" w:rsidRPr="00CE37F2" w:rsidRDefault="003A062E" w:rsidP="001B52AF">
            <w:pPr>
              <w:spacing w:before="0" w:beforeAutospacing="0" w:after="0" w:afterAutospacing="0"/>
              <w:jc w:val="center"/>
              <w:rPr>
                <w:rFonts w:eastAsia="Times New Roman"/>
                <w:color w:val="FFFFFF"/>
                <w:sz w:val="20"/>
                <w:szCs w:val="20"/>
                <w:lang w:eastAsia="en-AU"/>
              </w:rPr>
            </w:pPr>
            <w:r w:rsidRPr="00CE37F2">
              <w:rPr>
                <w:rFonts w:eastAsia="Times New Roman"/>
                <w:color w:val="FFFFFF"/>
                <w:sz w:val="20"/>
                <w:szCs w:val="20"/>
                <w:lang w:eastAsia="en-AU"/>
              </w:rPr>
              <w:t>Business Function Owner</w:t>
            </w:r>
          </w:p>
        </w:tc>
        <w:tc>
          <w:tcPr>
            <w:tcW w:w="2739" w:type="dxa"/>
            <w:tcBorders>
              <w:top w:val="nil"/>
              <w:left w:val="nil"/>
              <w:bottom w:val="single" w:sz="4" w:space="0" w:color="auto"/>
              <w:right w:val="single" w:sz="8" w:space="0" w:color="auto"/>
            </w:tcBorders>
            <w:shd w:val="clear" w:color="000000" w:fill="5B9BD5"/>
            <w:noWrap/>
            <w:vAlign w:val="center"/>
            <w:hideMark/>
          </w:tcPr>
          <w:p w14:paraId="2890B964" w14:textId="77777777" w:rsidR="003A062E" w:rsidRPr="00CE37F2" w:rsidRDefault="003A062E" w:rsidP="001B52AF">
            <w:pPr>
              <w:spacing w:before="0" w:beforeAutospacing="0" w:after="0" w:afterAutospacing="0"/>
              <w:jc w:val="center"/>
              <w:rPr>
                <w:rFonts w:eastAsia="Times New Roman"/>
                <w:color w:val="FFFFFF"/>
                <w:sz w:val="20"/>
                <w:szCs w:val="20"/>
                <w:lang w:eastAsia="en-AU"/>
              </w:rPr>
            </w:pPr>
            <w:r w:rsidRPr="00CE37F2">
              <w:rPr>
                <w:rFonts w:eastAsia="Times New Roman"/>
                <w:color w:val="FFFFFF"/>
                <w:sz w:val="20"/>
                <w:szCs w:val="20"/>
                <w:lang w:eastAsia="en-AU"/>
              </w:rPr>
              <w:t>Business Function Owner</w:t>
            </w:r>
          </w:p>
        </w:tc>
      </w:tr>
      <w:tr w:rsidR="00525E1E" w:rsidRPr="003A062E" w14:paraId="4424E313" w14:textId="77777777" w:rsidTr="001B52AF">
        <w:trPr>
          <w:trHeight w:val="297"/>
        </w:trPr>
        <w:tc>
          <w:tcPr>
            <w:tcW w:w="475" w:type="dxa"/>
            <w:tcBorders>
              <w:top w:val="nil"/>
              <w:left w:val="nil"/>
              <w:bottom w:val="nil"/>
              <w:right w:val="nil"/>
            </w:tcBorders>
            <w:shd w:val="clear" w:color="auto" w:fill="auto"/>
            <w:noWrap/>
            <w:vAlign w:val="bottom"/>
            <w:hideMark/>
          </w:tcPr>
          <w:p w14:paraId="49E33F13" w14:textId="77777777" w:rsidR="003A062E" w:rsidRPr="003A062E" w:rsidRDefault="003A062E" w:rsidP="003A062E">
            <w:pPr>
              <w:spacing w:before="0" w:beforeAutospacing="0" w:after="0" w:afterAutospacing="0"/>
              <w:jc w:val="center"/>
              <w:rPr>
                <w:rFonts w:eastAsia="Times New Roman"/>
                <w:color w:val="FFFFFF"/>
                <w:sz w:val="22"/>
                <w:szCs w:val="22"/>
                <w:lang w:eastAsia="en-AU"/>
              </w:rPr>
            </w:pPr>
          </w:p>
        </w:tc>
        <w:tc>
          <w:tcPr>
            <w:tcW w:w="1970" w:type="dxa"/>
            <w:tcBorders>
              <w:top w:val="nil"/>
              <w:left w:val="nil"/>
              <w:bottom w:val="nil"/>
              <w:right w:val="nil"/>
            </w:tcBorders>
            <w:shd w:val="clear" w:color="auto" w:fill="auto"/>
            <w:noWrap/>
            <w:vAlign w:val="center"/>
            <w:hideMark/>
          </w:tcPr>
          <w:p w14:paraId="2DF7A806" w14:textId="77777777" w:rsidR="003A062E" w:rsidRPr="00CE37F2" w:rsidRDefault="003A062E" w:rsidP="001B52AF">
            <w:pPr>
              <w:spacing w:before="0" w:beforeAutospacing="0" w:after="0" w:afterAutospacing="0"/>
              <w:jc w:val="center"/>
              <w:rPr>
                <w:rFonts w:ascii="Times New Roman" w:eastAsia="Times New Roman" w:hAnsi="Times New Roman" w:cs="Times New Roman"/>
                <w:sz w:val="20"/>
                <w:szCs w:val="20"/>
                <w:lang w:eastAsia="en-AU"/>
              </w:rPr>
            </w:pPr>
          </w:p>
        </w:tc>
        <w:tc>
          <w:tcPr>
            <w:tcW w:w="3396" w:type="dxa"/>
            <w:tcBorders>
              <w:top w:val="nil"/>
              <w:left w:val="single" w:sz="8" w:space="0" w:color="auto"/>
              <w:bottom w:val="single" w:sz="4" w:space="0" w:color="auto"/>
              <w:right w:val="single" w:sz="8" w:space="0" w:color="auto"/>
            </w:tcBorders>
            <w:shd w:val="clear" w:color="000000" w:fill="DDEBF7"/>
            <w:noWrap/>
            <w:vAlign w:val="center"/>
            <w:hideMark/>
          </w:tcPr>
          <w:p w14:paraId="10F5CC25" w14:textId="77777777" w:rsidR="003A062E" w:rsidRPr="00CE37F2" w:rsidRDefault="003A062E" w:rsidP="001B52AF">
            <w:pPr>
              <w:spacing w:before="0" w:beforeAutospacing="0" w:after="0" w:afterAutospacing="0"/>
              <w:jc w:val="center"/>
              <w:rPr>
                <w:rFonts w:eastAsia="Times New Roman"/>
                <w:color w:val="000000"/>
                <w:sz w:val="20"/>
                <w:szCs w:val="20"/>
                <w:lang w:eastAsia="en-AU"/>
              </w:rPr>
            </w:pPr>
            <w:r w:rsidRPr="00CE37F2">
              <w:rPr>
                <w:rFonts w:eastAsia="Times New Roman"/>
                <w:color w:val="000000"/>
                <w:sz w:val="20"/>
                <w:szCs w:val="20"/>
                <w:lang w:eastAsia="en-AU"/>
              </w:rPr>
              <w:t>Director, Corporate Services</w:t>
            </w:r>
          </w:p>
        </w:tc>
        <w:tc>
          <w:tcPr>
            <w:tcW w:w="2673" w:type="dxa"/>
            <w:tcBorders>
              <w:top w:val="nil"/>
              <w:left w:val="nil"/>
              <w:bottom w:val="single" w:sz="4" w:space="0" w:color="auto"/>
              <w:right w:val="single" w:sz="8" w:space="0" w:color="auto"/>
            </w:tcBorders>
            <w:shd w:val="clear" w:color="000000" w:fill="DDEBF7"/>
            <w:noWrap/>
            <w:vAlign w:val="center"/>
            <w:hideMark/>
          </w:tcPr>
          <w:p w14:paraId="40A55260" w14:textId="77777777" w:rsidR="003A062E" w:rsidRPr="00CE37F2" w:rsidRDefault="003A062E" w:rsidP="001B52AF">
            <w:pPr>
              <w:spacing w:before="0" w:beforeAutospacing="0" w:after="0" w:afterAutospacing="0"/>
              <w:jc w:val="center"/>
              <w:rPr>
                <w:rFonts w:eastAsia="Times New Roman"/>
                <w:color w:val="000000"/>
                <w:sz w:val="20"/>
                <w:szCs w:val="20"/>
                <w:lang w:eastAsia="en-AU"/>
              </w:rPr>
            </w:pPr>
            <w:r w:rsidRPr="00CE37F2">
              <w:rPr>
                <w:rFonts w:eastAsia="Times New Roman"/>
                <w:color w:val="000000"/>
                <w:sz w:val="20"/>
                <w:szCs w:val="20"/>
                <w:lang w:eastAsia="en-AU"/>
              </w:rPr>
              <w:t>Director, Records Management</w:t>
            </w:r>
          </w:p>
        </w:tc>
        <w:tc>
          <w:tcPr>
            <w:tcW w:w="2652" w:type="dxa"/>
            <w:tcBorders>
              <w:top w:val="nil"/>
              <w:left w:val="nil"/>
              <w:bottom w:val="single" w:sz="4" w:space="0" w:color="auto"/>
              <w:right w:val="single" w:sz="8" w:space="0" w:color="auto"/>
            </w:tcBorders>
            <w:shd w:val="clear" w:color="000000" w:fill="DDEBF7"/>
            <w:noWrap/>
            <w:vAlign w:val="center"/>
            <w:hideMark/>
          </w:tcPr>
          <w:p w14:paraId="215609CA" w14:textId="77777777" w:rsidR="003A062E" w:rsidRPr="00CE37F2" w:rsidRDefault="003A062E" w:rsidP="001B52AF">
            <w:pPr>
              <w:spacing w:before="0" w:beforeAutospacing="0" w:after="0" w:afterAutospacing="0"/>
              <w:jc w:val="center"/>
              <w:rPr>
                <w:rFonts w:eastAsia="Times New Roman"/>
                <w:color w:val="000000"/>
                <w:sz w:val="20"/>
                <w:szCs w:val="20"/>
                <w:lang w:eastAsia="en-AU"/>
              </w:rPr>
            </w:pPr>
            <w:r w:rsidRPr="00CE37F2">
              <w:rPr>
                <w:rFonts w:eastAsia="Times New Roman"/>
                <w:color w:val="000000"/>
                <w:sz w:val="20"/>
                <w:szCs w:val="20"/>
                <w:lang w:eastAsia="en-AU"/>
              </w:rPr>
              <w:t>Director, Field Based Services</w:t>
            </w:r>
          </w:p>
        </w:tc>
        <w:tc>
          <w:tcPr>
            <w:tcW w:w="2739" w:type="dxa"/>
            <w:tcBorders>
              <w:top w:val="nil"/>
              <w:left w:val="nil"/>
              <w:bottom w:val="single" w:sz="4" w:space="0" w:color="auto"/>
              <w:right w:val="single" w:sz="8" w:space="0" w:color="auto"/>
            </w:tcBorders>
            <w:shd w:val="clear" w:color="000000" w:fill="DDEBF7"/>
            <w:noWrap/>
            <w:vAlign w:val="center"/>
            <w:hideMark/>
          </w:tcPr>
          <w:p w14:paraId="7CC246D9" w14:textId="77777777" w:rsidR="003A062E" w:rsidRPr="00CE37F2" w:rsidRDefault="003A062E" w:rsidP="001B52AF">
            <w:pPr>
              <w:spacing w:before="0" w:beforeAutospacing="0" w:after="0" w:afterAutospacing="0"/>
              <w:jc w:val="center"/>
              <w:rPr>
                <w:rFonts w:eastAsia="Times New Roman"/>
                <w:color w:val="000000"/>
                <w:sz w:val="20"/>
                <w:szCs w:val="20"/>
                <w:lang w:eastAsia="en-AU"/>
              </w:rPr>
            </w:pPr>
            <w:r w:rsidRPr="00CE37F2">
              <w:rPr>
                <w:rFonts w:eastAsia="Times New Roman"/>
                <w:color w:val="000000"/>
                <w:sz w:val="20"/>
                <w:szCs w:val="20"/>
                <w:lang w:eastAsia="en-AU"/>
              </w:rPr>
              <w:t>Director, Office Based Services</w:t>
            </w:r>
          </w:p>
        </w:tc>
      </w:tr>
      <w:tr w:rsidR="00525E1E" w:rsidRPr="003A062E" w14:paraId="4F9683D5" w14:textId="77777777" w:rsidTr="001B52AF">
        <w:trPr>
          <w:trHeight w:val="297"/>
        </w:trPr>
        <w:tc>
          <w:tcPr>
            <w:tcW w:w="475" w:type="dxa"/>
            <w:tcBorders>
              <w:top w:val="nil"/>
              <w:left w:val="nil"/>
              <w:bottom w:val="nil"/>
              <w:right w:val="nil"/>
            </w:tcBorders>
            <w:shd w:val="clear" w:color="auto" w:fill="auto"/>
            <w:noWrap/>
            <w:vAlign w:val="bottom"/>
            <w:hideMark/>
          </w:tcPr>
          <w:p w14:paraId="56282DA3" w14:textId="77777777" w:rsidR="003A062E" w:rsidRPr="003A062E" w:rsidRDefault="003A062E" w:rsidP="003A062E">
            <w:pPr>
              <w:spacing w:before="0" w:beforeAutospacing="0" w:after="0" w:afterAutospacing="0"/>
              <w:jc w:val="center"/>
              <w:rPr>
                <w:rFonts w:eastAsia="Times New Roman"/>
                <w:color w:val="000000"/>
                <w:sz w:val="22"/>
                <w:szCs w:val="22"/>
                <w:lang w:eastAsia="en-AU"/>
              </w:rPr>
            </w:pPr>
          </w:p>
        </w:tc>
        <w:tc>
          <w:tcPr>
            <w:tcW w:w="1970" w:type="dxa"/>
            <w:tcBorders>
              <w:top w:val="nil"/>
              <w:left w:val="nil"/>
              <w:bottom w:val="nil"/>
              <w:right w:val="nil"/>
            </w:tcBorders>
            <w:shd w:val="clear" w:color="auto" w:fill="auto"/>
            <w:noWrap/>
            <w:vAlign w:val="center"/>
            <w:hideMark/>
          </w:tcPr>
          <w:p w14:paraId="5E6BA8F8" w14:textId="77777777" w:rsidR="003A062E" w:rsidRPr="00CE37F2" w:rsidRDefault="003A062E" w:rsidP="001B52AF">
            <w:pPr>
              <w:spacing w:before="0" w:beforeAutospacing="0" w:after="0" w:afterAutospacing="0"/>
              <w:jc w:val="center"/>
              <w:rPr>
                <w:rFonts w:ascii="Times New Roman" w:eastAsia="Times New Roman" w:hAnsi="Times New Roman" w:cs="Times New Roman"/>
                <w:sz w:val="20"/>
                <w:szCs w:val="20"/>
                <w:lang w:eastAsia="en-AU"/>
              </w:rPr>
            </w:pPr>
          </w:p>
        </w:tc>
        <w:tc>
          <w:tcPr>
            <w:tcW w:w="3396" w:type="dxa"/>
            <w:tcBorders>
              <w:top w:val="nil"/>
              <w:left w:val="single" w:sz="8" w:space="0" w:color="auto"/>
              <w:bottom w:val="single" w:sz="4" w:space="0" w:color="auto"/>
              <w:right w:val="single" w:sz="8" w:space="0" w:color="auto"/>
            </w:tcBorders>
            <w:shd w:val="clear" w:color="000000" w:fill="FFFFFF"/>
            <w:noWrap/>
            <w:vAlign w:val="center"/>
            <w:hideMark/>
          </w:tcPr>
          <w:p w14:paraId="633E1B5E" w14:textId="77777777" w:rsidR="003A062E" w:rsidRPr="00CE37F2" w:rsidRDefault="003A062E" w:rsidP="001B52AF">
            <w:pPr>
              <w:spacing w:before="0" w:beforeAutospacing="0" w:after="0" w:afterAutospacing="0"/>
              <w:jc w:val="center"/>
              <w:rPr>
                <w:rFonts w:ascii="Wingdings" w:eastAsia="Times New Roman" w:hAnsi="Wingdings"/>
                <w:color w:val="000000"/>
                <w:sz w:val="20"/>
                <w:szCs w:val="20"/>
                <w:lang w:eastAsia="en-AU"/>
              </w:rPr>
            </w:pPr>
            <w:r w:rsidRPr="00CE37F2">
              <w:rPr>
                <w:rFonts w:ascii="Wingdings" w:eastAsia="Times New Roman" w:hAnsi="Wingdings"/>
                <w:color w:val="000000"/>
                <w:sz w:val="20"/>
                <w:szCs w:val="20"/>
                <w:lang w:eastAsia="en-AU"/>
              </w:rPr>
              <w:t></w:t>
            </w:r>
            <w:r w:rsidRPr="00CE37F2">
              <w:rPr>
                <w:rFonts w:ascii="Wingdings" w:eastAsia="Times New Roman" w:hAnsi="Wingdings"/>
                <w:color w:val="000000"/>
                <w:sz w:val="20"/>
                <w:szCs w:val="20"/>
                <w:lang w:eastAsia="en-AU"/>
              </w:rPr>
              <w:t></w:t>
            </w:r>
            <w:r w:rsidRPr="00CE37F2">
              <w:rPr>
                <w:rFonts w:ascii="Wingdings" w:eastAsia="Times New Roman" w:hAnsi="Wingdings"/>
                <w:color w:val="000000"/>
                <w:sz w:val="20"/>
                <w:szCs w:val="20"/>
                <w:lang w:eastAsia="en-AU"/>
              </w:rPr>
              <w:t></w:t>
            </w:r>
            <w:r w:rsidRPr="00CE37F2">
              <w:rPr>
                <w:rFonts w:ascii="Wingdings" w:eastAsia="Times New Roman" w:hAnsi="Wingdings"/>
                <w:color w:val="000000"/>
                <w:sz w:val="20"/>
                <w:szCs w:val="20"/>
                <w:lang w:eastAsia="en-AU"/>
              </w:rPr>
              <w:t></w:t>
            </w:r>
          </w:p>
        </w:tc>
        <w:tc>
          <w:tcPr>
            <w:tcW w:w="2673" w:type="dxa"/>
            <w:tcBorders>
              <w:top w:val="nil"/>
              <w:left w:val="nil"/>
              <w:bottom w:val="single" w:sz="4" w:space="0" w:color="auto"/>
              <w:right w:val="single" w:sz="8" w:space="0" w:color="auto"/>
            </w:tcBorders>
            <w:shd w:val="clear" w:color="000000" w:fill="FFFFFF"/>
            <w:noWrap/>
            <w:vAlign w:val="center"/>
            <w:hideMark/>
          </w:tcPr>
          <w:p w14:paraId="60ACC6DA" w14:textId="77777777" w:rsidR="003A062E" w:rsidRPr="00CE37F2" w:rsidRDefault="003A062E" w:rsidP="001B52AF">
            <w:pPr>
              <w:spacing w:before="0" w:beforeAutospacing="0" w:after="0" w:afterAutospacing="0"/>
              <w:jc w:val="center"/>
              <w:rPr>
                <w:rFonts w:ascii="Wingdings" w:eastAsia="Times New Roman" w:hAnsi="Wingdings"/>
                <w:color w:val="000000"/>
                <w:sz w:val="20"/>
                <w:szCs w:val="20"/>
                <w:lang w:eastAsia="en-AU"/>
              </w:rPr>
            </w:pPr>
            <w:r w:rsidRPr="00CE37F2">
              <w:rPr>
                <w:rFonts w:ascii="Wingdings" w:eastAsia="Times New Roman" w:hAnsi="Wingdings"/>
                <w:color w:val="000000"/>
                <w:sz w:val="20"/>
                <w:szCs w:val="20"/>
                <w:lang w:eastAsia="en-AU"/>
              </w:rPr>
              <w:t></w:t>
            </w:r>
            <w:r w:rsidRPr="00CE37F2">
              <w:rPr>
                <w:rFonts w:ascii="Wingdings" w:eastAsia="Times New Roman" w:hAnsi="Wingdings"/>
                <w:color w:val="000000"/>
                <w:sz w:val="20"/>
                <w:szCs w:val="20"/>
                <w:lang w:eastAsia="en-AU"/>
              </w:rPr>
              <w:t></w:t>
            </w:r>
            <w:r w:rsidRPr="00CE37F2">
              <w:rPr>
                <w:rFonts w:ascii="Wingdings" w:eastAsia="Times New Roman" w:hAnsi="Wingdings"/>
                <w:color w:val="000000"/>
                <w:sz w:val="20"/>
                <w:szCs w:val="20"/>
                <w:lang w:eastAsia="en-AU"/>
              </w:rPr>
              <w:t></w:t>
            </w:r>
            <w:r w:rsidRPr="00CE37F2">
              <w:rPr>
                <w:rFonts w:ascii="Wingdings" w:eastAsia="Times New Roman" w:hAnsi="Wingdings"/>
                <w:color w:val="000000"/>
                <w:sz w:val="20"/>
                <w:szCs w:val="20"/>
                <w:lang w:eastAsia="en-AU"/>
              </w:rPr>
              <w:t></w:t>
            </w:r>
          </w:p>
        </w:tc>
        <w:tc>
          <w:tcPr>
            <w:tcW w:w="2652" w:type="dxa"/>
            <w:tcBorders>
              <w:top w:val="nil"/>
              <w:left w:val="nil"/>
              <w:bottom w:val="single" w:sz="4" w:space="0" w:color="auto"/>
              <w:right w:val="single" w:sz="8" w:space="0" w:color="auto"/>
            </w:tcBorders>
            <w:shd w:val="clear" w:color="000000" w:fill="FFFFFF"/>
            <w:noWrap/>
            <w:vAlign w:val="center"/>
            <w:hideMark/>
          </w:tcPr>
          <w:p w14:paraId="5F559400" w14:textId="77777777" w:rsidR="003A062E" w:rsidRPr="00CE37F2" w:rsidRDefault="003A062E" w:rsidP="001B52AF">
            <w:pPr>
              <w:spacing w:before="0" w:beforeAutospacing="0" w:after="0" w:afterAutospacing="0"/>
              <w:jc w:val="center"/>
              <w:rPr>
                <w:rFonts w:ascii="Wingdings" w:eastAsia="Times New Roman" w:hAnsi="Wingdings"/>
                <w:color w:val="000000"/>
                <w:sz w:val="20"/>
                <w:szCs w:val="20"/>
                <w:lang w:eastAsia="en-AU"/>
              </w:rPr>
            </w:pPr>
            <w:r w:rsidRPr="00CE37F2">
              <w:rPr>
                <w:rFonts w:ascii="Wingdings" w:eastAsia="Times New Roman" w:hAnsi="Wingdings"/>
                <w:color w:val="000000"/>
                <w:sz w:val="20"/>
                <w:szCs w:val="20"/>
                <w:lang w:eastAsia="en-AU"/>
              </w:rPr>
              <w:t></w:t>
            </w:r>
            <w:r w:rsidRPr="00CE37F2">
              <w:rPr>
                <w:rFonts w:ascii="Wingdings" w:eastAsia="Times New Roman" w:hAnsi="Wingdings"/>
                <w:color w:val="000000"/>
                <w:sz w:val="20"/>
                <w:szCs w:val="20"/>
                <w:lang w:eastAsia="en-AU"/>
              </w:rPr>
              <w:t></w:t>
            </w:r>
            <w:r w:rsidRPr="00CE37F2">
              <w:rPr>
                <w:rFonts w:ascii="Wingdings" w:eastAsia="Times New Roman" w:hAnsi="Wingdings"/>
                <w:color w:val="000000"/>
                <w:sz w:val="20"/>
                <w:szCs w:val="20"/>
                <w:lang w:eastAsia="en-AU"/>
              </w:rPr>
              <w:t></w:t>
            </w:r>
            <w:r w:rsidRPr="00CE37F2">
              <w:rPr>
                <w:rFonts w:ascii="Wingdings" w:eastAsia="Times New Roman" w:hAnsi="Wingdings"/>
                <w:color w:val="000000"/>
                <w:sz w:val="20"/>
                <w:szCs w:val="20"/>
                <w:lang w:eastAsia="en-AU"/>
              </w:rPr>
              <w:t></w:t>
            </w:r>
          </w:p>
        </w:tc>
        <w:tc>
          <w:tcPr>
            <w:tcW w:w="2739" w:type="dxa"/>
            <w:tcBorders>
              <w:top w:val="nil"/>
              <w:left w:val="nil"/>
              <w:bottom w:val="single" w:sz="4" w:space="0" w:color="auto"/>
              <w:right w:val="single" w:sz="8" w:space="0" w:color="auto"/>
            </w:tcBorders>
            <w:shd w:val="clear" w:color="000000" w:fill="FFFFFF"/>
            <w:noWrap/>
            <w:vAlign w:val="center"/>
            <w:hideMark/>
          </w:tcPr>
          <w:p w14:paraId="711BB909" w14:textId="77777777" w:rsidR="003A062E" w:rsidRPr="00CE37F2" w:rsidRDefault="003A062E" w:rsidP="001B52AF">
            <w:pPr>
              <w:spacing w:before="0" w:beforeAutospacing="0" w:after="0" w:afterAutospacing="0"/>
              <w:jc w:val="center"/>
              <w:rPr>
                <w:rFonts w:ascii="Wingdings" w:eastAsia="Times New Roman" w:hAnsi="Wingdings"/>
                <w:color w:val="000000"/>
                <w:sz w:val="20"/>
                <w:szCs w:val="20"/>
                <w:lang w:eastAsia="en-AU"/>
              </w:rPr>
            </w:pPr>
            <w:r w:rsidRPr="00CE37F2">
              <w:rPr>
                <w:rFonts w:ascii="Wingdings" w:eastAsia="Times New Roman" w:hAnsi="Wingdings"/>
                <w:color w:val="000000"/>
                <w:sz w:val="20"/>
                <w:szCs w:val="20"/>
                <w:lang w:eastAsia="en-AU"/>
              </w:rPr>
              <w:t></w:t>
            </w:r>
            <w:r w:rsidRPr="00CE37F2">
              <w:rPr>
                <w:rFonts w:ascii="Wingdings" w:eastAsia="Times New Roman" w:hAnsi="Wingdings"/>
                <w:color w:val="000000"/>
                <w:sz w:val="20"/>
                <w:szCs w:val="20"/>
                <w:lang w:eastAsia="en-AU"/>
              </w:rPr>
              <w:t></w:t>
            </w:r>
            <w:r w:rsidRPr="00CE37F2">
              <w:rPr>
                <w:rFonts w:ascii="Wingdings" w:eastAsia="Times New Roman" w:hAnsi="Wingdings"/>
                <w:color w:val="000000"/>
                <w:sz w:val="20"/>
                <w:szCs w:val="20"/>
                <w:lang w:eastAsia="en-AU"/>
              </w:rPr>
              <w:t></w:t>
            </w:r>
            <w:r w:rsidRPr="00CE37F2">
              <w:rPr>
                <w:rFonts w:ascii="Wingdings" w:eastAsia="Times New Roman" w:hAnsi="Wingdings"/>
                <w:color w:val="000000"/>
                <w:sz w:val="20"/>
                <w:szCs w:val="20"/>
                <w:lang w:eastAsia="en-AU"/>
              </w:rPr>
              <w:t></w:t>
            </w:r>
          </w:p>
        </w:tc>
      </w:tr>
      <w:tr w:rsidR="00525E1E" w:rsidRPr="003A062E" w14:paraId="5070599C" w14:textId="77777777" w:rsidTr="001B52AF">
        <w:trPr>
          <w:trHeight w:val="311"/>
        </w:trPr>
        <w:tc>
          <w:tcPr>
            <w:tcW w:w="475" w:type="dxa"/>
            <w:tcBorders>
              <w:top w:val="nil"/>
              <w:left w:val="nil"/>
              <w:bottom w:val="nil"/>
              <w:right w:val="nil"/>
            </w:tcBorders>
            <w:shd w:val="clear" w:color="auto" w:fill="auto"/>
            <w:noWrap/>
            <w:vAlign w:val="bottom"/>
            <w:hideMark/>
          </w:tcPr>
          <w:p w14:paraId="5C4C5C11" w14:textId="77777777" w:rsidR="003A062E" w:rsidRPr="003A062E" w:rsidRDefault="003A062E" w:rsidP="00CE37F2">
            <w:pPr>
              <w:spacing w:before="0" w:beforeAutospacing="0" w:after="0" w:afterAutospacing="0"/>
              <w:jc w:val="center"/>
              <w:rPr>
                <w:rFonts w:ascii="Wingdings" w:eastAsia="Times New Roman" w:hAnsi="Wingdings"/>
                <w:color w:val="000000"/>
                <w:sz w:val="22"/>
                <w:szCs w:val="22"/>
                <w:lang w:eastAsia="en-AU"/>
              </w:rPr>
            </w:pPr>
          </w:p>
        </w:tc>
        <w:tc>
          <w:tcPr>
            <w:tcW w:w="1970" w:type="dxa"/>
            <w:tcBorders>
              <w:top w:val="nil"/>
              <w:left w:val="nil"/>
              <w:bottom w:val="nil"/>
              <w:right w:val="nil"/>
            </w:tcBorders>
            <w:shd w:val="clear" w:color="auto" w:fill="auto"/>
            <w:noWrap/>
            <w:vAlign w:val="center"/>
            <w:hideMark/>
          </w:tcPr>
          <w:p w14:paraId="7874E245" w14:textId="77777777" w:rsidR="003A062E" w:rsidRPr="00CE37F2" w:rsidRDefault="003A062E" w:rsidP="001B52AF">
            <w:pPr>
              <w:spacing w:before="0" w:beforeAutospacing="0" w:after="0" w:afterAutospacing="0"/>
              <w:jc w:val="center"/>
              <w:rPr>
                <w:rFonts w:ascii="Times New Roman" w:eastAsia="Times New Roman" w:hAnsi="Times New Roman" w:cs="Times New Roman"/>
                <w:sz w:val="20"/>
                <w:szCs w:val="20"/>
                <w:lang w:eastAsia="en-AU"/>
              </w:rPr>
            </w:pPr>
          </w:p>
        </w:tc>
        <w:tc>
          <w:tcPr>
            <w:tcW w:w="3396" w:type="dxa"/>
            <w:tcBorders>
              <w:top w:val="nil"/>
              <w:left w:val="single" w:sz="8" w:space="0" w:color="auto"/>
              <w:bottom w:val="single" w:sz="4" w:space="0" w:color="auto"/>
              <w:right w:val="single" w:sz="8" w:space="0" w:color="auto"/>
            </w:tcBorders>
            <w:shd w:val="clear" w:color="000000" w:fill="5B9BD5"/>
            <w:noWrap/>
            <w:vAlign w:val="center"/>
            <w:hideMark/>
          </w:tcPr>
          <w:p w14:paraId="37197910" w14:textId="77777777" w:rsidR="003A062E" w:rsidRPr="00CE37F2" w:rsidRDefault="003A062E" w:rsidP="001B52AF">
            <w:pPr>
              <w:spacing w:before="0" w:beforeAutospacing="0" w:after="0" w:afterAutospacing="0"/>
              <w:jc w:val="center"/>
              <w:rPr>
                <w:rFonts w:eastAsia="Times New Roman"/>
                <w:color w:val="FFFFFF"/>
                <w:sz w:val="20"/>
                <w:szCs w:val="20"/>
                <w:lang w:eastAsia="en-AU"/>
              </w:rPr>
            </w:pPr>
            <w:r w:rsidRPr="00CE37F2">
              <w:rPr>
                <w:rFonts w:eastAsia="Times New Roman"/>
                <w:color w:val="FFFFFF"/>
                <w:sz w:val="20"/>
                <w:szCs w:val="20"/>
                <w:lang w:eastAsia="en-AU"/>
              </w:rPr>
              <w:t>Dependence on ICT System</w:t>
            </w:r>
          </w:p>
        </w:tc>
        <w:tc>
          <w:tcPr>
            <w:tcW w:w="2673" w:type="dxa"/>
            <w:tcBorders>
              <w:top w:val="nil"/>
              <w:left w:val="nil"/>
              <w:bottom w:val="single" w:sz="4" w:space="0" w:color="auto"/>
              <w:right w:val="single" w:sz="8" w:space="0" w:color="auto"/>
            </w:tcBorders>
            <w:shd w:val="clear" w:color="000000" w:fill="5B9BD5"/>
            <w:noWrap/>
            <w:vAlign w:val="center"/>
            <w:hideMark/>
          </w:tcPr>
          <w:p w14:paraId="6746285C" w14:textId="77777777" w:rsidR="003A062E" w:rsidRPr="00CE37F2" w:rsidRDefault="003A062E" w:rsidP="001B52AF">
            <w:pPr>
              <w:spacing w:before="0" w:beforeAutospacing="0" w:after="0" w:afterAutospacing="0"/>
              <w:jc w:val="center"/>
              <w:rPr>
                <w:rFonts w:eastAsia="Times New Roman"/>
                <w:color w:val="FFFFFF"/>
                <w:sz w:val="20"/>
                <w:szCs w:val="20"/>
                <w:lang w:eastAsia="en-AU"/>
              </w:rPr>
            </w:pPr>
            <w:r w:rsidRPr="00CE37F2">
              <w:rPr>
                <w:rFonts w:eastAsia="Times New Roman"/>
                <w:color w:val="FFFFFF"/>
                <w:sz w:val="20"/>
                <w:szCs w:val="20"/>
                <w:lang w:eastAsia="en-AU"/>
              </w:rPr>
              <w:t>Dependence on ICT System</w:t>
            </w:r>
          </w:p>
        </w:tc>
        <w:tc>
          <w:tcPr>
            <w:tcW w:w="2652" w:type="dxa"/>
            <w:tcBorders>
              <w:top w:val="nil"/>
              <w:left w:val="nil"/>
              <w:bottom w:val="single" w:sz="4" w:space="0" w:color="auto"/>
              <w:right w:val="single" w:sz="8" w:space="0" w:color="auto"/>
            </w:tcBorders>
            <w:shd w:val="clear" w:color="000000" w:fill="5B9BD5"/>
            <w:noWrap/>
            <w:vAlign w:val="center"/>
            <w:hideMark/>
          </w:tcPr>
          <w:p w14:paraId="0987518E" w14:textId="77777777" w:rsidR="003A062E" w:rsidRPr="00CE37F2" w:rsidRDefault="003A062E" w:rsidP="001B52AF">
            <w:pPr>
              <w:spacing w:before="0" w:beforeAutospacing="0" w:after="0" w:afterAutospacing="0"/>
              <w:jc w:val="center"/>
              <w:rPr>
                <w:rFonts w:eastAsia="Times New Roman"/>
                <w:color w:val="FFFFFF"/>
                <w:sz w:val="20"/>
                <w:szCs w:val="20"/>
                <w:lang w:eastAsia="en-AU"/>
              </w:rPr>
            </w:pPr>
            <w:r w:rsidRPr="00CE37F2">
              <w:rPr>
                <w:rFonts w:eastAsia="Times New Roman"/>
                <w:color w:val="FFFFFF"/>
                <w:sz w:val="20"/>
                <w:szCs w:val="20"/>
                <w:lang w:eastAsia="en-AU"/>
              </w:rPr>
              <w:t>Dependence on ICT System</w:t>
            </w:r>
          </w:p>
        </w:tc>
        <w:tc>
          <w:tcPr>
            <w:tcW w:w="2739" w:type="dxa"/>
            <w:tcBorders>
              <w:top w:val="nil"/>
              <w:left w:val="nil"/>
              <w:bottom w:val="single" w:sz="4" w:space="0" w:color="auto"/>
              <w:right w:val="single" w:sz="8" w:space="0" w:color="auto"/>
            </w:tcBorders>
            <w:shd w:val="clear" w:color="000000" w:fill="5B9BD5"/>
            <w:noWrap/>
            <w:vAlign w:val="center"/>
            <w:hideMark/>
          </w:tcPr>
          <w:p w14:paraId="275058EE" w14:textId="77777777" w:rsidR="003A062E" w:rsidRPr="00CE37F2" w:rsidRDefault="003A062E" w:rsidP="001B52AF">
            <w:pPr>
              <w:spacing w:before="0" w:beforeAutospacing="0" w:after="0" w:afterAutospacing="0"/>
              <w:jc w:val="center"/>
              <w:rPr>
                <w:rFonts w:eastAsia="Times New Roman"/>
                <w:color w:val="FFFFFF"/>
                <w:sz w:val="20"/>
                <w:szCs w:val="20"/>
                <w:lang w:eastAsia="en-AU"/>
              </w:rPr>
            </w:pPr>
            <w:r w:rsidRPr="00CE37F2">
              <w:rPr>
                <w:rFonts w:eastAsia="Times New Roman"/>
                <w:color w:val="FFFFFF"/>
                <w:sz w:val="20"/>
                <w:szCs w:val="20"/>
                <w:lang w:eastAsia="en-AU"/>
              </w:rPr>
              <w:t>Dependence on ICT System</w:t>
            </w:r>
          </w:p>
        </w:tc>
      </w:tr>
      <w:tr w:rsidR="00525E1E" w:rsidRPr="003A062E" w14:paraId="5C485259" w14:textId="77777777" w:rsidTr="001B52AF">
        <w:trPr>
          <w:trHeight w:val="297"/>
        </w:trPr>
        <w:tc>
          <w:tcPr>
            <w:tcW w:w="475" w:type="dxa"/>
            <w:vMerge w:val="restart"/>
            <w:tcBorders>
              <w:top w:val="single" w:sz="8" w:space="0" w:color="auto"/>
              <w:left w:val="single" w:sz="8" w:space="0" w:color="auto"/>
              <w:bottom w:val="single" w:sz="8" w:space="0" w:color="000000"/>
              <w:right w:val="single" w:sz="8" w:space="0" w:color="auto"/>
            </w:tcBorders>
            <w:shd w:val="clear" w:color="000000" w:fill="5B9BD5"/>
            <w:noWrap/>
            <w:textDirection w:val="btLr"/>
            <w:vAlign w:val="center"/>
            <w:hideMark/>
          </w:tcPr>
          <w:p w14:paraId="012A8387" w14:textId="77777777" w:rsidR="003A062E" w:rsidRPr="003A062E" w:rsidRDefault="003A062E" w:rsidP="00CE37F2">
            <w:pPr>
              <w:spacing w:before="0" w:beforeAutospacing="0" w:after="0" w:afterAutospacing="0"/>
              <w:jc w:val="center"/>
              <w:rPr>
                <w:rFonts w:eastAsia="Times New Roman"/>
                <w:color w:val="FFFFFF"/>
                <w:sz w:val="22"/>
                <w:szCs w:val="22"/>
                <w:lang w:eastAsia="en-AU"/>
              </w:rPr>
            </w:pPr>
            <w:r w:rsidRPr="003A062E">
              <w:rPr>
                <w:rFonts w:eastAsia="Times New Roman"/>
                <w:color w:val="FFFFFF"/>
                <w:sz w:val="22"/>
                <w:szCs w:val="22"/>
                <w:lang w:eastAsia="en-AU"/>
              </w:rPr>
              <w:t>ICT Systems</w:t>
            </w:r>
          </w:p>
        </w:tc>
        <w:tc>
          <w:tcPr>
            <w:tcW w:w="1970" w:type="dxa"/>
            <w:tcBorders>
              <w:top w:val="single" w:sz="8" w:space="0" w:color="auto"/>
              <w:left w:val="nil"/>
              <w:bottom w:val="single" w:sz="4" w:space="0" w:color="auto"/>
              <w:right w:val="nil"/>
            </w:tcBorders>
            <w:shd w:val="clear" w:color="auto" w:fill="auto"/>
            <w:noWrap/>
            <w:vAlign w:val="center"/>
            <w:hideMark/>
          </w:tcPr>
          <w:p w14:paraId="57047AF4" w14:textId="0A44C06A" w:rsidR="003A062E" w:rsidRPr="00CE37F2" w:rsidRDefault="00525E1E" w:rsidP="001B52AF">
            <w:pPr>
              <w:spacing w:before="0" w:beforeAutospacing="0" w:after="0" w:afterAutospacing="0"/>
              <w:jc w:val="center"/>
              <w:rPr>
                <w:rFonts w:eastAsia="Times New Roman"/>
                <w:color w:val="000000"/>
                <w:sz w:val="20"/>
                <w:szCs w:val="20"/>
                <w:lang w:eastAsia="en-AU"/>
              </w:rPr>
            </w:pPr>
            <w:r>
              <w:rPr>
                <w:rFonts w:eastAsia="Times New Roman"/>
                <w:color w:val="000000"/>
                <w:sz w:val="20"/>
                <w:szCs w:val="20"/>
                <w:lang w:eastAsia="en-AU"/>
              </w:rPr>
              <w:t>HR</w:t>
            </w:r>
            <w:r w:rsidR="003A062E" w:rsidRPr="00CE37F2">
              <w:rPr>
                <w:rFonts w:eastAsia="Times New Roman"/>
                <w:color w:val="000000"/>
                <w:sz w:val="20"/>
                <w:szCs w:val="20"/>
                <w:lang w:eastAsia="en-AU"/>
              </w:rPr>
              <w:t>/Payroll</w:t>
            </w:r>
          </w:p>
        </w:tc>
        <w:tc>
          <w:tcPr>
            <w:tcW w:w="3396" w:type="dxa"/>
            <w:tcBorders>
              <w:top w:val="nil"/>
              <w:left w:val="single" w:sz="8" w:space="0" w:color="auto"/>
              <w:bottom w:val="single" w:sz="4" w:space="0" w:color="auto"/>
              <w:right w:val="single" w:sz="8" w:space="0" w:color="auto"/>
            </w:tcBorders>
            <w:shd w:val="clear" w:color="auto" w:fill="auto"/>
            <w:noWrap/>
            <w:vAlign w:val="center"/>
            <w:hideMark/>
          </w:tcPr>
          <w:p w14:paraId="61EDC339" w14:textId="7E2137CD" w:rsidR="003A062E" w:rsidRPr="00CE37F2" w:rsidRDefault="001B52AF" w:rsidP="001B52AF">
            <w:pPr>
              <w:spacing w:before="0" w:beforeAutospacing="0" w:after="0" w:afterAutospacing="0"/>
              <w:jc w:val="center"/>
              <w:rPr>
                <w:rFonts w:eastAsia="Times New Roman"/>
                <w:b/>
                <w:bCs/>
                <w:color w:val="FF0000"/>
                <w:sz w:val="20"/>
                <w:szCs w:val="20"/>
                <w:lang w:eastAsia="en-AU"/>
              </w:rPr>
            </w:pPr>
            <w:r w:rsidRPr="00CE37F2">
              <w:rPr>
                <w:rFonts w:eastAsia="Times New Roman"/>
                <w:b/>
                <w:bCs/>
                <w:color w:val="ED7D31"/>
                <w:sz w:val="20"/>
                <w:szCs w:val="20"/>
                <w:lang w:eastAsia="en-AU"/>
              </w:rPr>
              <w:t>Important</w:t>
            </w:r>
          </w:p>
        </w:tc>
        <w:tc>
          <w:tcPr>
            <w:tcW w:w="2673" w:type="dxa"/>
            <w:tcBorders>
              <w:top w:val="nil"/>
              <w:left w:val="nil"/>
              <w:bottom w:val="single" w:sz="4" w:space="0" w:color="auto"/>
              <w:right w:val="single" w:sz="8" w:space="0" w:color="auto"/>
            </w:tcBorders>
            <w:shd w:val="clear" w:color="auto" w:fill="auto"/>
            <w:noWrap/>
            <w:vAlign w:val="center"/>
            <w:hideMark/>
          </w:tcPr>
          <w:p w14:paraId="79674C2D" w14:textId="77777777" w:rsidR="003A062E" w:rsidRPr="00CE37F2" w:rsidRDefault="003A062E" w:rsidP="001B52AF">
            <w:pPr>
              <w:spacing w:before="0" w:beforeAutospacing="0" w:after="0" w:afterAutospacing="0"/>
              <w:jc w:val="center"/>
              <w:rPr>
                <w:rFonts w:eastAsia="Times New Roman"/>
                <w:b/>
                <w:bCs/>
                <w:color w:val="375623"/>
                <w:sz w:val="20"/>
                <w:szCs w:val="20"/>
                <w:lang w:eastAsia="en-AU"/>
              </w:rPr>
            </w:pPr>
            <w:r w:rsidRPr="00CE37F2">
              <w:rPr>
                <w:rFonts w:eastAsia="Times New Roman"/>
                <w:b/>
                <w:bCs/>
                <w:color w:val="375623"/>
                <w:sz w:val="20"/>
                <w:szCs w:val="20"/>
                <w:lang w:eastAsia="en-AU"/>
              </w:rPr>
              <w:t>Useful</w:t>
            </w:r>
          </w:p>
        </w:tc>
        <w:tc>
          <w:tcPr>
            <w:tcW w:w="2652" w:type="dxa"/>
            <w:tcBorders>
              <w:top w:val="nil"/>
              <w:left w:val="nil"/>
              <w:bottom w:val="single" w:sz="4" w:space="0" w:color="auto"/>
              <w:right w:val="single" w:sz="8" w:space="0" w:color="auto"/>
            </w:tcBorders>
            <w:shd w:val="clear" w:color="auto" w:fill="auto"/>
            <w:noWrap/>
            <w:vAlign w:val="center"/>
            <w:hideMark/>
          </w:tcPr>
          <w:p w14:paraId="0AE25ED3" w14:textId="77777777" w:rsidR="003A062E" w:rsidRPr="00CE37F2" w:rsidRDefault="003A062E" w:rsidP="001B52AF">
            <w:pPr>
              <w:spacing w:before="0" w:beforeAutospacing="0" w:after="0" w:afterAutospacing="0"/>
              <w:jc w:val="center"/>
              <w:rPr>
                <w:rFonts w:eastAsia="Times New Roman"/>
                <w:b/>
                <w:bCs/>
                <w:color w:val="375623"/>
                <w:sz w:val="20"/>
                <w:szCs w:val="20"/>
                <w:lang w:eastAsia="en-AU"/>
              </w:rPr>
            </w:pPr>
            <w:r w:rsidRPr="00CE37F2">
              <w:rPr>
                <w:rFonts w:eastAsia="Times New Roman"/>
                <w:b/>
                <w:bCs/>
                <w:color w:val="375623"/>
                <w:sz w:val="20"/>
                <w:szCs w:val="20"/>
                <w:lang w:eastAsia="en-AU"/>
              </w:rPr>
              <w:t>Useful</w:t>
            </w:r>
          </w:p>
        </w:tc>
        <w:tc>
          <w:tcPr>
            <w:tcW w:w="2739" w:type="dxa"/>
            <w:tcBorders>
              <w:top w:val="nil"/>
              <w:left w:val="nil"/>
              <w:bottom w:val="single" w:sz="4" w:space="0" w:color="auto"/>
              <w:right w:val="single" w:sz="8" w:space="0" w:color="auto"/>
            </w:tcBorders>
            <w:shd w:val="clear" w:color="auto" w:fill="auto"/>
            <w:noWrap/>
            <w:vAlign w:val="center"/>
            <w:hideMark/>
          </w:tcPr>
          <w:p w14:paraId="295C7D86" w14:textId="77777777" w:rsidR="003A062E" w:rsidRPr="00CE37F2" w:rsidRDefault="003A062E" w:rsidP="001B52AF">
            <w:pPr>
              <w:spacing w:before="0" w:beforeAutospacing="0" w:after="0" w:afterAutospacing="0"/>
              <w:jc w:val="center"/>
              <w:rPr>
                <w:rFonts w:eastAsia="Times New Roman"/>
                <w:b/>
                <w:bCs/>
                <w:color w:val="375623"/>
                <w:sz w:val="20"/>
                <w:szCs w:val="20"/>
                <w:lang w:eastAsia="en-AU"/>
              </w:rPr>
            </w:pPr>
            <w:r w:rsidRPr="00CE37F2">
              <w:rPr>
                <w:rFonts w:eastAsia="Times New Roman"/>
                <w:b/>
                <w:bCs/>
                <w:color w:val="375623"/>
                <w:sz w:val="20"/>
                <w:szCs w:val="20"/>
                <w:lang w:eastAsia="en-AU"/>
              </w:rPr>
              <w:t>Useful</w:t>
            </w:r>
          </w:p>
        </w:tc>
      </w:tr>
      <w:tr w:rsidR="00525E1E" w:rsidRPr="003A062E" w14:paraId="132AAA7F" w14:textId="77777777" w:rsidTr="001B52AF">
        <w:trPr>
          <w:trHeight w:val="297"/>
        </w:trPr>
        <w:tc>
          <w:tcPr>
            <w:tcW w:w="475" w:type="dxa"/>
            <w:vMerge/>
            <w:tcBorders>
              <w:top w:val="single" w:sz="8" w:space="0" w:color="auto"/>
              <w:left w:val="single" w:sz="8" w:space="0" w:color="auto"/>
              <w:bottom w:val="single" w:sz="8" w:space="0" w:color="000000"/>
              <w:right w:val="single" w:sz="8" w:space="0" w:color="auto"/>
            </w:tcBorders>
            <w:vAlign w:val="center"/>
            <w:hideMark/>
          </w:tcPr>
          <w:p w14:paraId="5D8C03E9" w14:textId="77777777" w:rsidR="003A062E" w:rsidRPr="003A062E" w:rsidRDefault="003A062E" w:rsidP="003A062E">
            <w:pPr>
              <w:spacing w:before="0" w:beforeAutospacing="0" w:after="0" w:afterAutospacing="0"/>
              <w:jc w:val="left"/>
              <w:rPr>
                <w:rFonts w:eastAsia="Times New Roman"/>
                <w:color w:val="FFFFFF"/>
                <w:sz w:val="22"/>
                <w:szCs w:val="22"/>
                <w:lang w:eastAsia="en-AU"/>
              </w:rPr>
            </w:pPr>
          </w:p>
        </w:tc>
        <w:tc>
          <w:tcPr>
            <w:tcW w:w="1970" w:type="dxa"/>
            <w:tcBorders>
              <w:top w:val="nil"/>
              <w:left w:val="nil"/>
              <w:bottom w:val="single" w:sz="4" w:space="0" w:color="auto"/>
              <w:right w:val="nil"/>
            </w:tcBorders>
            <w:shd w:val="clear" w:color="auto" w:fill="auto"/>
            <w:noWrap/>
            <w:vAlign w:val="center"/>
            <w:hideMark/>
          </w:tcPr>
          <w:p w14:paraId="5F7EEAD8" w14:textId="77777777" w:rsidR="003A062E" w:rsidRPr="00CE37F2" w:rsidRDefault="003A062E" w:rsidP="001B52AF">
            <w:pPr>
              <w:spacing w:before="0" w:beforeAutospacing="0" w:after="0" w:afterAutospacing="0"/>
              <w:jc w:val="center"/>
              <w:rPr>
                <w:rFonts w:eastAsia="Times New Roman"/>
                <w:color w:val="000000"/>
                <w:sz w:val="20"/>
                <w:szCs w:val="20"/>
                <w:lang w:eastAsia="en-AU"/>
              </w:rPr>
            </w:pPr>
            <w:r w:rsidRPr="00CE37F2">
              <w:rPr>
                <w:rFonts w:eastAsia="Times New Roman"/>
                <w:color w:val="000000"/>
                <w:sz w:val="20"/>
                <w:szCs w:val="20"/>
                <w:lang w:eastAsia="en-AU"/>
              </w:rPr>
              <w:t>Finance</w:t>
            </w:r>
          </w:p>
        </w:tc>
        <w:tc>
          <w:tcPr>
            <w:tcW w:w="3396" w:type="dxa"/>
            <w:tcBorders>
              <w:top w:val="nil"/>
              <w:left w:val="single" w:sz="8" w:space="0" w:color="auto"/>
              <w:bottom w:val="single" w:sz="4" w:space="0" w:color="auto"/>
              <w:right w:val="single" w:sz="8" w:space="0" w:color="auto"/>
            </w:tcBorders>
            <w:shd w:val="clear" w:color="auto" w:fill="auto"/>
            <w:noWrap/>
            <w:vAlign w:val="center"/>
            <w:hideMark/>
          </w:tcPr>
          <w:p w14:paraId="23043B36" w14:textId="77777777" w:rsidR="003A062E" w:rsidRPr="00CE37F2" w:rsidRDefault="003A062E" w:rsidP="001B52AF">
            <w:pPr>
              <w:spacing w:before="0" w:beforeAutospacing="0" w:after="0" w:afterAutospacing="0"/>
              <w:jc w:val="center"/>
              <w:rPr>
                <w:rFonts w:eastAsia="Times New Roman"/>
                <w:b/>
                <w:bCs/>
                <w:color w:val="FF0000"/>
                <w:sz w:val="20"/>
                <w:szCs w:val="20"/>
                <w:lang w:eastAsia="en-AU"/>
              </w:rPr>
            </w:pPr>
            <w:r w:rsidRPr="00CE37F2">
              <w:rPr>
                <w:rFonts w:eastAsia="Times New Roman"/>
                <w:b/>
                <w:bCs/>
                <w:color w:val="FF0000"/>
                <w:sz w:val="20"/>
                <w:szCs w:val="20"/>
                <w:lang w:eastAsia="en-AU"/>
              </w:rPr>
              <w:t>Critical</w:t>
            </w:r>
          </w:p>
        </w:tc>
        <w:tc>
          <w:tcPr>
            <w:tcW w:w="2673" w:type="dxa"/>
            <w:tcBorders>
              <w:top w:val="nil"/>
              <w:left w:val="nil"/>
              <w:bottom w:val="single" w:sz="4" w:space="0" w:color="auto"/>
              <w:right w:val="single" w:sz="8" w:space="0" w:color="auto"/>
            </w:tcBorders>
            <w:shd w:val="clear" w:color="auto" w:fill="auto"/>
            <w:noWrap/>
            <w:vAlign w:val="center"/>
            <w:hideMark/>
          </w:tcPr>
          <w:p w14:paraId="746038D1" w14:textId="77777777" w:rsidR="003A062E" w:rsidRPr="00CE37F2" w:rsidRDefault="003A062E" w:rsidP="001B52AF">
            <w:pPr>
              <w:spacing w:before="0" w:beforeAutospacing="0" w:after="0" w:afterAutospacing="0"/>
              <w:jc w:val="center"/>
              <w:rPr>
                <w:rFonts w:eastAsia="Times New Roman"/>
                <w:b/>
                <w:bCs/>
                <w:color w:val="375623"/>
                <w:sz w:val="20"/>
                <w:szCs w:val="20"/>
                <w:lang w:eastAsia="en-AU"/>
              </w:rPr>
            </w:pPr>
            <w:r w:rsidRPr="00CE37F2">
              <w:rPr>
                <w:rFonts w:eastAsia="Times New Roman"/>
                <w:b/>
                <w:bCs/>
                <w:color w:val="375623"/>
                <w:sz w:val="20"/>
                <w:szCs w:val="20"/>
                <w:lang w:eastAsia="en-AU"/>
              </w:rPr>
              <w:t>Useful</w:t>
            </w:r>
          </w:p>
        </w:tc>
        <w:tc>
          <w:tcPr>
            <w:tcW w:w="2652" w:type="dxa"/>
            <w:tcBorders>
              <w:top w:val="nil"/>
              <w:left w:val="nil"/>
              <w:bottom w:val="single" w:sz="4" w:space="0" w:color="auto"/>
              <w:right w:val="single" w:sz="8" w:space="0" w:color="auto"/>
            </w:tcBorders>
            <w:shd w:val="clear" w:color="auto" w:fill="auto"/>
            <w:noWrap/>
            <w:vAlign w:val="center"/>
            <w:hideMark/>
          </w:tcPr>
          <w:p w14:paraId="2A709E97" w14:textId="77777777" w:rsidR="003A062E" w:rsidRPr="00CE37F2" w:rsidRDefault="003A062E" w:rsidP="001B52AF">
            <w:pPr>
              <w:spacing w:before="0" w:beforeAutospacing="0" w:after="0" w:afterAutospacing="0"/>
              <w:jc w:val="center"/>
              <w:rPr>
                <w:rFonts w:eastAsia="Times New Roman"/>
                <w:b/>
                <w:bCs/>
                <w:color w:val="375623"/>
                <w:sz w:val="20"/>
                <w:szCs w:val="20"/>
                <w:lang w:eastAsia="en-AU"/>
              </w:rPr>
            </w:pPr>
            <w:r w:rsidRPr="00CE37F2">
              <w:rPr>
                <w:rFonts w:eastAsia="Times New Roman"/>
                <w:b/>
                <w:bCs/>
                <w:color w:val="375623"/>
                <w:sz w:val="20"/>
                <w:szCs w:val="20"/>
                <w:lang w:eastAsia="en-AU"/>
              </w:rPr>
              <w:t>Useful</w:t>
            </w:r>
          </w:p>
        </w:tc>
        <w:tc>
          <w:tcPr>
            <w:tcW w:w="2739" w:type="dxa"/>
            <w:tcBorders>
              <w:top w:val="nil"/>
              <w:left w:val="nil"/>
              <w:bottom w:val="single" w:sz="4" w:space="0" w:color="auto"/>
              <w:right w:val="single" w:sz="8" w:space="0" w:color="auto"/>
            </w:tcBorders>
            <w:shd w:val="clear" w:color="auto" w:fill="auto"/>
            <w:noWrap/>
            <w:vAlign w:val="center"/>
            <w:hideMark/>
          </w:tcPr>
          <w:p w14:paraId="3D80D9A7" w14:textId="77777777" w:rsidR="003A062E" w:rsidRPr="00CE37F2" w:rsidRDefault="003A062E" w:rsidP="001B52AF">
            <w:pPr>
              <w:spacing w:before="0" w:beforeAutospacing="0" w:after="0" w:afterAutospacing="0"/>
              <w:jc w:val="center"/>
              <w:rPr>
                <w:rFonts w:eastAsia="Times New Roman"/>
                <w:b/>
                <w:bCs/>
                <w:color w:val="375623"/>
                <w:sz w:val="20"/>
                <w:szCs w:val="20"/>
                <w:lang w:eastAsia="en-AU"/>
              </w:rPr>
            </w:pPr>
            <w:r w:rsidRPr="00CE37F2">
              <w:rPr>
                <w:rFonts w:eastAsia="Times New Roman"/>
                <w:b/>
                <w:bCs/>
                <w:color w:val="375623"/>
                <w:sz w:val="20"/>
                <w:szCs w:val="20"/>
                <w:lang w:eastAsia="en-AU"/>
              </w:rPr>
              <w:t>Useful</w:t>
            </w:r>
          </w:p>
        </w:tc>
      </w:tr>
      <w:tr w:rsidR="00525E1E" w:rsidRPr="003A062E" w14:paraId="1373E360" w14:textId="77777777" w:rsidTr="001B52AF">
        <w:trPr>
          <w:trHeight w:val="297"/>
        </w:trPr>
        <w:tc>
          <w:tcPr>
            <w:tcW w:w="475" w:type="dxa"/>
            <w:vMerge/>
            <w:tcBorders>
              <w:top w:val="single" w:sz="8" w:space="0" w:color="auto"/>
              <w:left w:val="single" w:sz="8" w:space="0" w:color="auto"/>
              <w:bottom w:val="single" w:sz="8" w:space="0" w:color="000000"/>
              <w:right w:val="single" w:sz="8" w:space="0" w:color="auto"/>
            </w:tcBorders>
            <w:vAlign w:val="center"/>
            <w:hideMark/>
          </w:tcPr>
          <w:p w14:paraId="66DB80E8" w14:textId="77777777" w:rsidR="003A062E" w:rsidRPr="003A062E" w:rsidRDefault="003A062E" w:rsidP="003A062E">
            <w:pPr>
              <w:spacing w:before="0" w:beforeAutospacing="0" w:after="0" w:afterAutospacing="0"/>
              <w:jc w:val="left"/>
              <w:rPr>
                <w:rFonts w:eastAsia="Times New Roman"/>
                <w:color w:val="FFFFFF"/>
                <w:sz w:val="22"/>
                <w:szCs w:val="22"/>
                <w:lang w:eastAsia="en-AU"/>
              </w:rPr>
            </w:pPr>
          </w:p>
        </w:tc>
        <w:tc>
          <w:tcPr>
            <w:tcW w:w="1970" w:type="dxa"/>
            <w:tcBorders>
              <w:top w:val="nil"/>
              <w:left w:val="nil"/>
              <w:bottom w:val="single" w:sz="4" w:space="0" w:color="auto"/>
              <w:right w:val="nil"/>
            </w:tcBorders>
            <w:shd w:val="clear" w:color="auto" w:fill="auto"/>
            <w:noWrap/>
            <w:vAlign w:val="center"/>
            <w:hideMark/>
          </w:tcPr>
          <w:p w14:paraId="0DED3C05" w14:textId="77777777" w:rsidR="003A062E" w:rsidRPr="00CE37F2" w:rsidRDefault="003A062E" w:rsidP="001B52AF">
            <w:pPr>
              <w:spacing w:before="0" w:beforeAutospacing="0" w:after="0" w:afterAutospacing="0"/>
              <w:jc w:val="center"/>
              <w:rPr>
                <w:rFonts w:eastAsia="Times New Roman"/>
                <w:color w:val="000000"/>
                <w:sz w:val="20"/>
                <w:szCs w:val="20"/>
                <w:lang w:eastAsia="en-AU"/>
              </w:rPr>
            </w:pPr>
            <w:r w:rsidRPr="00CE37F2">
              <w:rPr>
                <w:rFonts w:eastAsia="Times New Roman"/>
                <w:color w:val="000000"/>
                <w:sz w:val="20"/>
                <w:szCs w:val="20"/>
                <w:lang w:eastAsia="en-AU"/>
              </w:rPr>
              <w:t>Records Keeping</w:t>
            </w:r>
          </w:p>
        </w:tc>
        <w:tc>
          <w:tcPr>
            <w:tcW w:w="3396" w:type="dxa"/>
            <w:tcBorders>
              <w:top w:val="nil"/>
              <w:left w:val="single" w:sz="8" w:space="0" w:color="auto"/>
              <w:bottom w:val="single" w:sz="4" w:space="0" w:color="auto"/>
              <w:right w:val="single" w:sz="8" w:space="0" w:color="auto"/>
            </w:tcBorders>
            <w:shd w:val="clear" w:color="auto" w:fill="auto"/>
            <w:noWrap/>
            <w:vAlign w:val="center"/>
            <w:hideMark/>
          </w:tcPr>
          <w:p w14:paraId="61244955" w14:textId="77777777" w:rsidR="003A062E" w:rsidRPr="00CE37F2" w:rsidRDefault="003A062E" w:rsidP="001B52AF">
            <w:pPr>
              <w:spacing w:before="0" w:beforeAutospacing="0" w:after="0" w:afterAutospacing="0"/>
              <w:jc w:val="center"/>
              <w:rPr>
                <w:rFonts w:eastAsia="Times New Roman"/>
                <w:b/>
                <w:bCs/>
                <w:color w:val="ED7D31"/>
                <w:sz w:val="20"/>
                <w:szCs w:val="20"/>
                <w:lang w:eastAsia="en-AU"/>
              </w:rPr>
            </w:pPr>
            <w:r w:rsidRPr="00CE37F2">
              <w:rPr>
                <w:rFonts w:eastAsia="Times New Roman"/>
                <w:b/>
                <w:bCs/>
                <w:color w:val="ED7D31"/>
                <w:sz w:val="20"/>
                <w:szCs w:val="20"/>
                <w:lang w:eastAsia="en-AU"/>
              </w:rPr>
              <w:t>Important</w:t>
            </w:r>
          </w:p>
        </w:tc>
        <w:tc>
          <w:tcPr>
            <w:tcW w:w="2673" w:type="dxa"/>
            <w:tcBorders>
              <w:top w:val="nil"/>
              <w:left w:val="nil"/>
              <w:bottom w:val="single" w:sz="4" w:space="0" w:color="auto"/>
              <w:right w:val="single" w:sz="8" w:space="0" w:color="auto"/>
            </w:tcBorders>
            <w:shd w:val="clear" w:color="auto" w:fill="auto"/>
            <w:noWrap/>
            <w:vAlign w:val="center"/>
            <w:hideMark/>
          </w:tcPr>
          <w:p w14:paraId="481E2097" w14:textId="77777777" w:rsidR="003A062E" w:rsidRPr="00CE37F2" w:rsidRDefault="003A062E" w:rsidP="001B52AF">
            <w:pPr>
              <w:spacing w:before="0" w:beforeAutospacing="0" w:after="0" w:afterAutospacing="0"/>
              <w:jc w:val="center"/>
              <w:rPr>
                <w:rFonts w:eastAsia="Times New Roman"/>
                <w:b/>
                <w:bCs/>
                <w:color w:val="ED7D31"/>
                <w:sz w:val="20"/>
                <w:szCs w:val="20"/>
                <w:lang w:eastAsia="en-AU"/>
              </w:rPr>
            </w:pPr>
            <w:r w:rsidRPr="00CE37F2">
              <w:rPr>
                <w:rFonts w:eastAsia="Times New Roman"/>
                <w:b/>
                <w:bCs/>
                <w:color w:val="ED7D31"/>
                <w:sz w:val="20"/>
                <w:szCs w:val="20"/>
                <w:lang w:eastAsia="en-AU"/>
              </w:rPr>
              <w:t>Important</w:t>
            </w:r>
          </w:p>
        </w:tc>
        <w:tc>
          <w:tcPr>
            <w:tcW w:w="2652" w:type="dxa"/>
            <w:tcBorders>
              <w:top w:val="nil"/>
              <w:left w:val="nil"/>
              <w:bottom w:val="single" w:sz="4" w:space="0" w:color="auto"/>
              <w:right w:val="single" w:sz="8" w:space="0" w:color="auto"/>
            </w:tcBorders>
            <w:shd w:val="clear" w:color="auto" w:fill="auto"/>
            <w:noWrap/>
            <w:vAlign w:val="center"/>
            <w:hideMark/>
          </w:tcPr>
          <w:p w14:paraId="46D50B1C" w14:textId="77777777" w:rsidR="003A062E" w:rsidRPr="00CE37F2" w:rsidRDefault="003A062E" w:rsidP="001B52AF">
            <w:pPr>
              <w:spacing w:before="0" w:beforeAutospacing="0" w:after="0" w:afterAutospacing="0"/>
              <w:jc w:val="center"/>
              <w:rPr>
                <w:rFonts w:eastAsia="Times New Roman"/>
                <w:b/>
                <w:bCs/>
                <w:color w:val="375623"/>
                <w:sz w:val="20"/>
                <w:szCs w:val="20"/>
                <w:lang w:eastAsia="en-AU"/>
              </w:rPr>
            </w:pPr>
            <w:r w:rsidRPr="00CE37F2">
              <w:rPr>
                <w:rFonts w:eastAsia="Times New Roman"/>
                <w:b/>
                <w:bCs/>
                <w:color w:val="375623"/>
                <w:sz w:val="20"/>
                <w:szCs w:val="20"/>
                <w:lang w:eastAsia="en-AU"/>
              </w:rPr>
              <w:t>Useful</w:t>
            </w:r>
          </w:p>
        </w:tc>
        <w:tc>
          <w:tcPr>
            <w:tcW w:w="2739" w:type="dxa"/>
            <w:tcBorders>
              <w:top w:val="nil"/>
              <w:left w:val="nil"/>
              <w:bottom w:val="single" w:sz="4" w:space="0" w:color="auto"/>
              <w:right w:val="single" w:sz="8" w:space="0" w:color="auto"/>
            </w:tcBorders>
            <w:shd w:val="clear" w:color="auto" w:fill="auto"/>
            <w:noWrap/>
            <w:vAlign w:val="center"/>
            <w:hideMark/>
          </w:tcPr>
          <w:p w14:paraId="76180B3C" w14:textId="77777777" w:rsidR="003A062E" w:rsidRPr="00CE37F2" w:rsidRDefault="003A062E" w:rsidP="001B52AF">
            <w:pPr>
              <w:spacing w:before="0" w:beforeAutospacing="0" w:after="0" w:afterAutospacing="0"/>
              <w:jc w:val="center"/>
              <w:rPr>
                <w:rFonts w:eastAsia="Times New Roman"/>
                <w:b/>
                <w:bCs/>
                <w:color w:val="375623"/>
                <w:sz w:val="20"/>
                <w:szCs w:val="20"/>
                <w:lang w:eastAsia="en-AU"/>
              </w:rPr>
            </w:pPr>
            <w:r w:rsidRPr="00CE37F2">
              <w:rPr>
                <w:rFonts w:eastAsia="Times New Roman"/>
                <w:b/>
                <w:bCs/>
                <w:color w:val="375623"/>
                <w:sz w:val="20"/>
                <w:szCs w:val="20"/>
                <w:lang w:eastAsia="en-AU"/>
              </w:rPr>
              <w:t>Useful</w:t>
            </w:r>
          </w:p>
        </w:tc>
      </w:tr>
      <w:tr w:rsidR="00525E1E" w:rsidRPr="003A062E" w14:paraId="71AD8ABA" w14:textId="77777777" w:rsidTr="001B52AF">
        <w:trPr>
          <w:trHeight w:val="297"/>
        </w:trPr>
        <w:tc>
          <w:tcPr>
            <w:tcW w:w="475" w:type="dxa"/>
            <w:vMerge/>
            <w:tcBorders>
              <w:top w:val="single" w:sz="8" w:space="0" w:color="auto"/>
              <w:left w:val="single" w:sz="8" w:space="0" w:color="auto"/>
              <w:bottom w:val="single" w:sz="8" w:space="0" w:color="000000"/>
              <w:right w:val="single" w:sz="8" w:space="0" w:color="auto"/>
            </w:tcBorders>
            <w:vAlign w:val="center"/>
            <w:hideMark/>
          </w:tcPr>
          <w:p w14:paraId="5FE6A6F9" w14:textId="77777777" w:rsidR="003A062E" w:rsidRPr="003A062E" w:rsidRDefault="003A062E" w:rsidP="003A062E">
            <w:pPr>
              <w:spacing w:before="0" w:beforeAutospacing="0" w:after="0" w:afterAutospacing="0"/>
              <w:jc w:val="left"/>
              <w:rPr>
                <w:rFonts w:eastAsia="Times New Roman"/>
                <w:color w:val="FFFFFF"/>
                <w:sz w:val="22"/>
                <w:szCs w:val="22"/>
                <w:lang w:eastAsia="en-AU"/>
              </w:rPr>
            </w:pPr>
          </w:p>
        </w:tc>
        <w:tc>
          <w:tcPr>
            <w:tcW w:w="1970" w:type="dxa"/>
            <w:tcBorders>
              <w:top w:val="nil"/>
              <w:left w:val="nil"/>
              <w:bottom w:val="single" w:sz="4" w:space="0" w:color="auto"/>
              <w:right w:val="nil"/>
            </w:tcBorders>
            <w:shd w:val="clear" w:color="auto" w:fill="auto"/>
            <w:noWrap/>
            <w:vAlign w:val="center"/>
            <w:hideMark/>
          </w:tcPr>
          <w:p w14:paraId="2EA09B24" w14:textId="77777777" w:rsidR="003A062E" w:rsidRPr="00CE37F2" w:rsidRDefault="003A062E" w:rsidP="001B52AF">
            <w:pPr>
              <w:spacing w:before="0" w:beforeAutospacing="0" w:after="0" w:afterAutospacing="0"/>
              <w:jc w:val="center"/>
              <w:rPr>
                <w:rFonts w:eastAsia="Times New Roman"/>
                <w:color w:val="000000"/>
                <w:sz w:val="20"/>
                <w:szCs w:val="20"/>
                <w:lang w:eastAsia="en-AU"/>
              </w:rPr>
            </w:pPr>
            <w:r w:rsidRPr="00CE37F2">
              <w:rPr>
                <w:rFonts w:eastAsia="Times New Roman"/>
                <w:color w:val="000000"/>
                <w:sz w:val="20"/>
                <w:szCs w:val="20"/>
                <w:lang w:eastAsia="en-AU"/>
              </w:rPr>
              <w:t>Email &amp; Calendar</w:t>
            </w:r>
          </w:p>
        </w:tc>
        <w:tc>
          <w:tcPr>
            <w:tcW w:w="3396" w:type="dxa"/>
            <w:tcBorders>
              <w:top w:val="nil"/>
              <w:left w:val="single" w:sz="8" w:space="0" w:color="auto"/>
              <w:bottom w:val="single" w:sz="4" w:space="0" w:color="auto"/>
              <w:right w:val="single" w:sz="8" w:space="0" w:color="auto"/>
            </w:tcBorders>
            <w:shd w:val="clear" w:color="auto" w:fill="auto"/>
            <w:noWrap/>
            <w:vAlign w:val="center"/>
            <w:hideMark/>
          </w:tcPr>
          <w:p w14:paraId="626C7125" w14:textId="77777777" w:rsidR="003A062E" w:rsidRPr="00CE37F2" w:rsidRDefault="003A062E" w:rsidP="001B52AF">
            <w:pPr>
              <w:spacing w:before="0" w:beforeAutospacing="0" w:after="0" w:afterAutospacing="0"/>
              <w:jc w:val="center"/>
              <w:rPr>
                <w:rFonts w:eastAsia="Times New Roman"/>
                <w:b/>
                <w:bCs/>
                <w:color w:val="ED7D31"/>
                <w:sz w:val="20"/>
                <w:szCs w:val="20"/>
                <w:lang w:eastAsia="en-AU"/>
              </w:rPr>
            </w:pPr>
            <w:r w:rsidRPr="00CE37F2">
              <w:rPr>
                <w:rFonts w:eastAsia="Times New Roman"/>
                <w:b/>
                <w:bCs/>
                <w:color w:val="ED7D31"/>
                <w:sz w:val="20"/>
                <w:szCs w:val="20"/>
                <w:lang w:eastAsia="en-AU"/>
              </w:rPr>
              <w:t>Important</w:t>
            </w:r>
          </w:p>
        </w:tc>
        <w:tc>
          <w:tcPr>
            <w:tcW w:w="2673" w:type="dxa"/>
            <w:tcBorders>
              <w:top w:val="nil"/>
              <w:left w:val="nil"/>
              <w:bottom w:val="single" w:sz="4" w:space="0" w:color="auto"/>
              <w:right w:val="single" w:sz="8" w:space="0" w:color="auto"/>
            </w:tcBorders>
            <w:shd w:val="clear" w:color="auto" w:fill="auto"/>
            <w:noWrap/>
            <w:vAlign w:val="center"/>
            <w:hideMark/>
          </w:tcPr>
          <w:p w14:paraId="753D73B3" w14:textId="77777777" w:rsidR="003A062E" w:rsidRPr="00CE37F2" w:rsidRDefault="003A062E" w:rsidP="001B52AF">
            <w:pPr>
              <w:spacing w:before="0" w:beforeAutospacing="0" w:after="0" w:afterAutospacing="0"/>
              <w:jc w:val="center"/>
              <w:rPr>
                <w:rFonts w:eastAsia="Times New Roman"/>
                <w:b/>
                <w:bCs/>
                <w:color w:val="ED7D31"/>
                <w:sz w:val="20"/>
                <w:szCs w:val="20"/>
                <w:lang w:eastAsia="en-AU"/>
              </w:rPr>
            </w:pPr>
            <w:r w:rsidRPr="00CE37F2">
              <w:rPr>
                <w:rFonts w:eastAsia="Times New Roman"/>
                <w:b/>
                <w:bCs/>
                <w:color w:val="ED7D31"/>
                <w:sz w:val="20"/>
                <w:szCs w:val="20"/>
                <w:lang w:eastAsia="en-AU"/>
              </w:rPr>
              <w:t>Important</w:t>
            </w:r>
          </w:p>
        </w:tc>
        <w:tc>
          <w:tcPr>
            <w:tcW w:w="2652" w:type="dxa"/>
            <w:tcBorders>
              <w:top w:val="nil"/>
              <w:left w:val="nil"/>
              <w:bottom w:val="single" w:sz="4" w:space="0" w:color="auto"/>
              <w:right w:val="single" w:sz="8" w:space="0" w:color="auto"/>
            </w:tcBorders>
            <w:shd w:val="clear" w:color="auto" w:fill="auto"/>
            <w:noWrap/>
            <w:vAlign w:val="center"/>
            <w:hideMark/>
          </w:tcPr>
          <w:p w14:paraId="518CA35F" w14:textId="77777777" w:rsidR="003A062E" w:rsidRPr="00CE37F2" w:rsidRDefault="003A062E" w:rsidP="001B52AF">
            <w:pPr>
              <w:spacing w:before="0" w:beforeAutospacing="0" w:after="0" w:afterAutospacing="0"/>
              <w:jc w:val="center"/>
              <w:rPr>
                <w:rFonts w:eastAsia="Times New Roman"/>
                <w:b/>
                <w:bCs/>
                <w:color w:val="FF0000"/>
                <w:sz w:val="20"/>
                <w:szCs w:val="20"/>
                <w:lang w:eastAsia="en-AU"/>
              </w:rPr>
            </w:pPr>
            <w:r w:rsidRPr="00CE37F2">
              <w:rPr>
                <w:rFonts w:eastAsia="Times New Roman"/>
                <w:b/>
                <w:bCs/>
                <w:color w:val="FF0000"/>
                <w:sz w:val="20"/>
                <w:szCs w:val="20"/>
                <w:lang w:eastAsia="en-AU"/>
              </w:rPr>
              <w:t>Critical</w:t>
            </w:r>
          </w:p>
        </w:tc>
        <w:tc>
          <w:tcPr>
            <w:tcW w:w="2739" w:type="dxa"/>
            <w:tcBorders>
              <w:top w:val="nil"/>
              <w:left w:val="nil"/>
              <w:bottom w:val="single" w:sz="4" w:space="0" w:color="auto"/>
              <w:right w:val="single" w:sz="8" w:space="0" w:color="auto"/>
            </w:tcBorders>
            <w:shd w:val="clear" w:color="auto" w:fill="auto"/>
            <w:noWrap/>
            <w:vAlign w:val="center"/>
            <w:hideMark/>
          </w:tcPr>
          <w:p w14:paraId="1B644B68" w14:textId="77777777" w:rsidR="003A062E" w:rsidRPr="00CE37F2" w:rsidRDefault="003A062E" w:rsidP="001B52AF">
            <w:pPr>
              <w:spacing w:before="0" w:beforeAutospacing="0" w:after="0" w:afterAutospacing="0"/>
              <w:jc w:val="center"/>
              <w:rPr>
                <w:rFonts w:eastAsia="Times New Roman"/>
                <w:b/>
                <w:bCs/>
                <w:color w:val="FF0000"/>
                <w:sz w:val="20"/>
                <w:szCs w:val="20"/>
                <w:lang w:eastAsia="en-AU"/>
              </w:rPr>
            </w:pPr>
            <w:r w:rsidRPr="00CE37F2">
              <w:rPr>
                <w:rFonts w:eastAsia="Times New Roman"/>
                <w:b/>
                <w:bCs/>
                <w:color w:val="FF0000"/>
                <w:sz w:val="20"/>
                <w:szCs w:val="20"/>
                <w:lang w:eastAsia="en-AU"/>
              </w:rPr>
              <w:t>Critical</w:t>
            </w:r>
          </w:p>
        </w:tc>
      </w:tr>
      <w:tr w:rsidR="00525E1E" w:rsidRPr="003A062E" w14:paraId="50EAB014" w14:textId="77777777" w:rsidTr="001B52AF">
        <w:trPr>
          <w:trHeight w:val="297"/>
        </w:trPr>
        <w:tc>
          <w:tcPr>
            <w:tcW w:w="475" w:type="dxa"/>
            <w:vMerge/>
            <w:tcBorders>
              <w:top w:val="single" w:sz="8" w:space="0" w:color="auto"/>
              <w:left w:val="single" w:sz="8" w:space="0" w:color="auto"/>
              <w:bottom w:val="single" w:sz="8" w:space="0" w:color="000000"/>
              <w:right w:val="single" w:sz="8" w:space="0" w:color="auto"/>
            </w:tcBorders>
            <w:vAlign w:val="center"/>
            <w:hideMark/>
          </w:tcPr>
          <w:p w14:paraId="29AFF962" w14:textId="77777777" w:rsidR="003A062E" w:rsidRPr="003A062E" w:rsidRDefault="003A062E" w:rsidP="003A062E">
            <w:pPr>
              <w:spacing w:before="0" w:beforeAutospacing="0" w:after="0" w:afterAutospacing="0"/>
              <w:jc w:val="left"/>
              <w:rPr>
                <w:rFonts w:eastAsia="Times New Roman"/>
                <w:color w:val="FFFFFF"/>
                <w:sz w:val="22"/>
                <w:szCs w:val="22"/>
                <w:lang w:eastAsia="en-AU"/>
              </w:rPr>
            </w:pPr>
          </w:p>
        </w:tc>
        <w:tc>
          <w:tcPr>
            <w:tcW w:w="1970" w:type="dxa"/>
            <w:tcBorders>
              <w:top w:val="nil"/>
              <w:left w:val="nil"/>
              <w:bottom w:val="single" w:sz="4" w:space="0" w:color="auto"/>
              <w:right w:val="nil"/>
            </w:tcBorders>
            <w:shd w:val="clear" w:color="auto" w:fill="auto"/>
            <w:noWrap/>
            <w:vAlign w:val="center"/>
            <w:hideMark/>
          </w:tcPr>
          <w:p w14:paraId="5EFEE929" w14:textId="4012ADE8" w:rsidR="003A062E" w:rsidRPr="00CE37F2" w:rsidRDefault="00525E1E" w:rsidP="001B52AF">
            <w:pPr>
              <w:spacing w:before="0" w:beforeAutospacing="0" w:after="0" w:afterAutospacing="0"/>
              <w:jc w:val="center"/>
              <w:rPr>
                <w:rFonts w:eastAsia="Times New Roman"/>
                <w:color w:val="000000"/>
                <w:sz w:val="20"/>
                <w:szCs w:val="20"/>
                <w:lang w:eastAsia="en-AU"/>
              </w:rPr>
            </w:pPr>
            <w:r>
              <w:rPr>
                <w:rFonts w:eastAsia="Times New Roman"/>
                <w:color w:val="000000"/>
                <w:sz w:val="20"/>
                <w:szCs w:val="20"/>
                <w:lang w:eastAsia="en-AU"/>
              </w:rPr>
              <w:t>CRM</w:t>
            </w:r>
          </w:p>
        </w:tc>
        <w:tc>
          <w:tcPr>
            <w:tcW w:w="3396" w:type="dxa"/>
            <w:tcBorders>
              <w:top w:val="nil"/>
              <w:left w:val="single" w:sz="8" w:space="0" w:color="auto"/>
              <w:bottom w:val="single" w:sz="4" w:space="0" w:color="auto"/>
              <w:right w:val="single" w:sz="8" w:space="0" w:color="auto"/>
            </w:tcBorders>
            <w:shd w:val="clear" w:color="auto" w:fill="auto"/>
            <w:noWrap/>
            <w:vAlign w:val="center"/>
            <w:hideMark/>
          </w:tcPr>
          <w:p w14:paraId="7443AB73" w14:textId="77777777" w:rsidR="003A062E" w:rsidRPr="00CE37F2" w:rsidRDefault="003A062E" w:rsidP="001B52AF">
            <w:pPr>
              <w:spacing w:before="0" w:beforeAutospacing="0" w:after="0" w:afterAutospacing="0"/>
              <w:jc w:val="center"/>
              <w:rPr>
                <w:rFonts w:eastAsia="Times New Roman"/>
                <w:color w:val="000000"/>
                <w:sz w:val="20"/>
                <w:szCs w:val="20"/>
                <w:lang w:eastAsia="en-AU"/>
              </w:rPr>
            </w:pPr>
            <w:r w:rsidRPr="00CE37F2">
              <w:rPr>
                <w:rFonts w:eastAsia="Times New Roman"/>
                <w:color w:val="000000"/>
                <w:sz w:val="20"/>
                <w:szCs w:val="20"/>
                <w:lang w:eastAsia="en-AU"/>
              </w:rPr>
              <w:t>None</w:t>
            </w:r>
          </w:p>
        </w:tc>
        <w:tc>
          <w:tcPr>
            <w:tcW w:w="2673" w:type="dxa"/>
            <w:tcBorders>
              <w:top w:val="nil"/>
              <w:left w:val="nil"/>
              <w:bottom w:val="single" w:sz="4" w:space="0" w:color="auto"/>
              <w:right w:val="single" w:sz="8" w:space="0" w:color="auto"/>
            </w:tcBorders>
            <w:shd w:val="clear" w:color="auto" w:fill="auto"/>
            <w:noWrap/>
            <w:vAlign w:val="center"/>
            <w:hideMark/>
          </w:tcPr>
          <w:p w14:paraId="631547A5" w14:textId="77777777" w:rsidR="003A062E" w:rsidRPr="00CE37F2" w:rsidRDefault="003A062E" w:rsidP="001B52AF">
            <w:pPr>
              <w:spacing w:before="0" w:beforeAutospacing="0" w:after="0" w:afterAutospacing="0"/>
              <w:jc w:val="center"/>
              <w:rPr>
                <w:rFonts w:eastAsia="Times New Roman"/>
                <w:color w:val="000000"/>
                <w:sz w:val="20"/>
                <w:szCs w:val="20"/>
                <w:lang w:eastAsia="en-AU"/>
              </w:rPr>
            </w:pPr>
            <w:r w:rsidRPr="00CE37F2">
              <w:rPr>
                <w:rFonts w:eastAsia="Times New Roman"/>
                <w:color w:val="000000"/>
                <w:sz w:val="20"/>
                <w:szCs w:val="20"/>
                <w:lang w:eastAsia="en-AU"/>
              </w:rPr>
              <w:t>None</w:t>
            </w:r>
          </w:p>
        </w:tc>
        <w:tc>
          <w:tcPr>
            <w:tcW w:w="2652" w:type="dxa"/>
            <w:tcBorders>
              <w:top w:val="nil"/>
              <w:left w:val="nil"/>
              <w:bottom w:val="single" w:sz="4" w:space="0" w:color="auto"/>
              <w:right w:val="single" w:sz="8" w:space="0" w:color="auto"/>
            </w:tcBorders>
            <w:shd w:val="clear" w:color="auto" w:fill="auto"/>
            <w:noWrap/>
            <w:vAlign w:val="center"/>
            <w:hideMark/>
          </w:tcPr>
          <w:p w14:paraId="426A824C" w14:textId="77777777" w:rsidR="003A062E" w:rsidRPr="00CE37F2" w:rsidRDefault="003A062E" w:rsidP="001B52AF">
            <w:pPr>
              <w:spacing w:before="0" w:beforeAutospacing="0" w:after="0" w:afterAutospacing="0"/>
              <w:jc w:val="center"/>
              <w:rPr>
                <w:rFonts w:eastAsia="Times New Roman"/>
                <w:b/>
                <w:bCs/>
                <w:color w:val="ED7D31"/>
                <w:sz w:val="20"/>
                <w:szCs w:val="20"/>
                <w:lang w:eastAsia="en-AU"/>
              </w:rPr>
            </w:pPr>
            <w:r w:rsidRPr="00CE37F2">
              <w:rPr>
                <w:rFonts w:eastAsia="Times New Roman"/>
                <w:b/>
                <w:bCs/>
                <w:color w:val="ED7D31"/>
                <w:sz w:val="20"/>
                <w:szCs w:val="20"/>
                <w:lang w:eastAsia="en-AU"/>
              </w:rPr>
              <w:t>Important</w:t>
            </w:r>
          </w:p>
        </w:tc>
        <w:tc>
          <w:tcPr>
            <w:tcW w:w="2739" w:type="dxa"/>
            <w:tcBorders>
              <w:top w:val="nil"/>
              <w:left w:val="nil"/>
              <w:bottom w:val="single" w:sz="4" w:space="0" w:color="auto"/>
              <w:right w:val="single" w:sz="8" w:space="0" w:color="auto"/>
            </w:tcBorders>
            <w:shd w:val="clear" w:color="auto" w:fill="auto"/>
            <w:noWrap/>
            <w:vAlign w:val="center"/>
            <w:hideMark/>
          </w:tcPr>
          <w:p w14:paraId="0B157308" w14:textId="77777777" w:rsidR="003A062E" w:rsidRPr="00CE37F2" w:rsidRDefault="003A062E" w:rsidP="001B52AF">
            <w:pPr>
              <w:spacing w:before="0" w:beforeAutospacing="0" w:after="0" w:afterAutospacing="0"/>
              <w:jc w:val="center"/>
              <w:rPr>
                <w:rFonts w:eastAsia="Times New Roman"/>
                <w:b/>
                <w:bCs/>
                <w:color w:val="ED7D31"/>
                <w:sz w:val="20"/>
                <w:szCs w:val="20"/>
                <w:lang w:eastAsia="en-AU"/>
              </w:rPr>
            </w:pPr>
            <w:r w:rsidRPr="00CE37F2">
              <w:rPr>
                <w:rFonts w:eastAsia="Times New Roman"/>
                <w:b/>
                <w:bCs/>
                <w:color w:val="ED7D31"/>
                <w:sz w:val="20"/>
                <w:szCs w:val="20"/>
                <w:lang w:eastAsia="en-AU"/>
              </w:rPr>
              <w:t>Important</w:t>
            </w:r>
          </w:p>
        </w:tc>
      </w:tr>
      <w:tr w:rsidR="00525E1E" w:rsidRPr="003A062E" w14:paraId="59E5F5AD" w14:textId="77777777" w:rsidTr="001B52AF">
        <w:trPr>
          <w:trHeight w:val="311"/>
        </w:trPr>
        <w:tc>
          <w:tcPr>
            <w:tcW w:w="475" w:type="dxa"/>
            <w:vMerge/>
            <w:tcBorders>
              <w:top w:val="single" w:sz="8" w:space="0" w:color="auto"/>
              <w:left w:val="single" w:sz="8" w:space="0" w:color="auto"/>
              <w:bottom w:val="single" w:sz="8" w:space="0" w:color="000000"/>
              <w:right w:val="single" w:sz="8" w:space="0" w:color="auto"/>
            </w:tcBorders>
            <w:vAlign w:val="center"/>
            <w:hideMark/>
          </w:tcPr>
          <w:p w14:paraId="5671D59E" w14:textId="77777777" w:rsidR="003A062E" w:rsidRPr="003A062E" w:rsidRDefault="003A062E" w:rsidP="003A062E">
            <w:pPr>
              <w:spacing w:before="0" w:beforeAutospacing="0" w:after="0" w:afterAutospacing="0"/>
              <w:jc w:val="left"/>
              <w:rPr>
                <w:rFonts w:eastAsia="Times New Roman"/>
                <w:color w:val="FFFFFF"/>
                <w:sz w:val="22"/>
                <w:szCs w:val="22"/>
                <w:lang w:eastAsia="en-AU"/>
              </w:rPr>
            </w:pPr>
          </w:p>
        </w:tc>
        <w:tc>
          <w:tcPr>
            <w:tcW w:w="1970" w:type="dxa"/>
            <w:tcBorders>
              <w:top w:val="nil"/>
              <w:left w:val="nil"/>
              <w:bottom w:val="single" w:sz="8" w:space="0" w:color="auto"/>
              <w:right w:val="nil"/>
            </w:tcBorders>
            <w:shd w:val="clear" w:color="auto" w:fill="auto"/>
            <w:noWrap/>
            <w:vAlign w:val="center"/>
            <w:hideMark/>
          </w:tcPr>
          <w:p w14:paraId="681CECE2" w14:textId="77777777" w:rsidR="003A062E" w:rsidRPr="00CE37F2" w:rsidRDefault="003A062E" w:rsidP="001B52AF">
            <w:pPr>
              <w:spacing w:before="0" w:beforeAutospacing="0" w:after="0" w:afterAutospacing="0"/>
              <w:jc w:val="center"/>
              <w:rPr>
                <w:rFonts w:eastAsia="Times New Roman"/>
                <w:color w:val="000000"/>
                <w:sz w:val="20"/>
                <w:szCs w:val="20"/>
                <w:lang w:eastAsia="en-AU"/>
              </w:rPr>
            </w:pPr>
            <w:r w:rsidRPr="00CE37F2">
              <w:rPr>
                <w:rFonts w:eastAsia="Times New Roman"/>
                <w:color w:val="000000"/>
                <w:sz w:val="20"/>
                <w:szCs w:val="20"/>
                <w:lang w:eastAsia="en-AU"/>
              </w:rPr>
              <w:t>Corporate Website</w:t>
            </w:r>
          </w:p>
        </w:tc>
        <w:tc>
          <w:tcPr>
            <w:tcW w:w="3396" w:type="dxa"/>
            <w:tcBorders>
              <w:top w:val="nil"/>
              <w:left w:val="single" w:sz="8" w:space="0" w:color="auto"/>
              <w:bottom w:val="single" w:sz="8" w:space="0" w:color="auto"/>
              <w:right w:val="single" w:sz="8" w:space="0" w:color="auto"/>
            </w:tcBorders>
            <w:shd w:val="clear" w:color="auto" w:fill="auto"/>
            <w:noWrap/>
            <w:vAlign w:val="center"/>
            <w:hideMark/>
          </w:tcPr>
          <w:p w14:paraId="38B875D1" w14:textId="77777777" w:rsidR="003A062E" w:rsidRPr="00CE37F2" w:rsidRDefault="003A062E" w:rsidP="001B52AF">
            <w:pPr>
              <w:spacing w:before="0" w:beforeAutospacing="0" w:after="0" w:afterAutospacing="0"/>
              <w:jc w:val="center"/>
              <w:rPr>
                <w:rFonts w:eastAsia="Times New Roman"/>
                <w:b/>
                <w:bCs/>
                <w:color w:val="375623"/>
                <w:sz w:val="20"/>
                <w:szCs w:val="20"/>
                <w:lang w:eastAsia="en-AU"/>
              </w:rPr>
            </w:pPr>
            <w:r w:rsidRPr="00CE37F2">
              <w:rPr>
                <w:rFonts w:eastAsia="Times New Roman"/>
                <w:b/>
                <w:bCs/>
                <w:color w:val="375623"/>
                <w:sz w:val="20"/>
                <w:szCs w:val="20"/>
                <w:lang w:eastAsia="en-AU"/>
              </w:rPr>
              <w:t>Useful</w:t>
            </w:r>
          </w:p>
        </w:tc>
        <w:tc>
          <w:tcPr>
            <w:tcW w:w="2673" w:type="dxa"/>
            <w:tcBorders>
              <w:top w:val="nil"/>
              <w:left w:val="nil"/>
              <w:bottom w:val="single" w:sz="8" w:space="0" w:color="auto"/>
              <w:right w:val="single" w:sz="8" w:space="0" w:color="auto"/>
            </w:tcBorders>
            <w:shd w:val="clear" w:color="auto" w:fill="auto"/>
            <w:noWrap/>
            <w:vAlign w:val="center"/>
            <w:hideMark/>
          </w:tcPr>
          <w:p w14:paraId="178C92FE" w14:textId="77777777" w:rsidR="003A062E" w:rsidRPr="00CE37F2" w:rsidRDefault="003A062E" w:rsidP="001B52AF">
            <w:pPr>
              <w:spacing w:before="0" w:beforeAutospacing="0" w:after="0" w:afterAutospacing="0"/>
              <w:jc w:val="center"/>
              <w:rPr>
                <w:rFonts w:eastAsia="Times New Roman"/>
                <w:color w:val="000000"/>
                <w:sz w:val="20"/>
                <w:szCs w:val="20"/>
                <w:lang w:eastAsia="en-AU"/>
              </w:rPr>
            </w:pPr>
            <w:r w:rsidRPr="00CE37F2">
              <w:rPr>
                <w:rFonts w:eastAsia="Times New Roman"/>
                <w:color w:val="000000"/>
                <w:sz w:val="20"/>
                <w:szCs w:val="20"/>
                <w:lang w:eastAsia="en-AU"/>
              </w:rPr>
              <w:t>None</w:t>
            </w:r>
          </w:p>
        </w:tc>
        <w:tc>
          <w:tcPr>
            <w:tcW w:w="2652" w:type="dxa"/>
            <w:tcBorders>
              <w:top w:val="nil"/>
              <w:left w:val="nil"/>
              <w:bottom w:val="single" w:sz="8" w:space="0" w:color="auto"/>
              <w:right w:val="single" w:sz="8" w:space="0" w:color="auto"/>
            </w:tcBorders>
            <w:shd w:val="clear" w:color="auto" w:fill="auto"/>
            <w:noWrap/>
            <w:vAlign w:val="center"/>
            <w:hideMark/>
          </w:tcPr>
          <w:p w14:paraId="06EFD95E" w14:textId="77777777" w:rsidR="003A062E" w:rsidRPr="00CE37F2" w:rsidRDefault="003A062E" w:rsidP="001B52AF">
            <w:pPr>
              <w:spacing w:before="0" w:beforeAutospacing="0" w:after="0" w:afterAutospacing="0"/>
              <w:jc w:val="center"/>
              <w:rPr>
                <w:rFonts w:eastAsia="Times New Roman"/>
                <w:b/>
                <w:bCs/>
                <w:color w:val="375623"/>
                <w:sz w:val="20"/>
                <w:szCs w:val="20"/>
                <w:lang w:eastAsia="en-AU"/>
              </w:rPr>
            </w:pPr>
            <w:r w:rsidRPr="00CE37F2">
              <w:rPr>
                <w:rFonts w:eastAsia="Times New Roman"/>
                <w:b/>
                <w:bCs/>
                <w:color w:val="375623"/>
                <w:sz w:val="20"/>
                <w:szCs w:val="20"/>
                <w:lang w:eastAsia="en-AU"/>
              </w:rPr>
              <w:t>Useful</w:t>
            </w:r>
          </w:p>
        </w:tc>
        <w:tc>
          <w:tcPr>
            <w:tcW w:w="2739" w:type="dxa"/>
            <w:tcBorders>
              <w:top w:val="nil"/>
              <w:left w:val="nil"/>
              <w:bottom w:val="single" w:sz="8" w:space="0" w:color="auto"/>
              <w:right w:val="single" w:sz="8" w:space="0" w:color="auto"/>
            </w:tcBorders>
            <w:shd w:val="clear" w:color="auto" w:fill="auto"/>
            <w:noWrap/>
            <w:vAlign w:val="center"/>
            <w:hideMark/>
          </w:tcPr>
          <w:p w14:paraId="3A729C61" w14:textId="45EFDBEE" w:rsidR="003A062E" w:rsidRPr="00CE37F2" w:rsidRDefault="003A062E" w:rsidP="001B52AF">
            <w:pPr>
              <w:spacing w:before="0" w:beforeAutospacing="0" w:after="0" w:afterAutospacing="0"/>
              <w:jc w:val="center"/>
              <w:rPr>
                <w:rFonts w:eastAsia="Times New Roman"/>
                <w:b/>
                <w:bCs/>
                <w:color w:val="375623"/>
                <w:sz w:val="20"/>
                <w:szCs w:val="20"/>
                <w:lang w:eastAsia="en-AU"/>
              </w:rPr>
            </w:pPr>
            <w:r w:rsidRPr="00CE37F2">
              <w:rPr>
                <w:rFonts w:eastAsia="Times New Roman"/>
                <w:b/>
                <w:bCs/>
                <w:color w:val="375623"/>
                <w:sz w:val="20"/>
                <w:szCs w:val="20"/>
                <w:lang w:eastAsia="en-AU"/>
              </w:rPr>
              <w:t>Useful</w:t>
            </w:r>
          </w:p>
        </w:tc>
      </w:tr>
    </w:tbl>
    <w:p w14:paraId="7D481A9C" w14:textId="08E08BB3" w:rsidR="00C65405" w:rsidRDefault="007A5BFF" w:rsidP="00CE37F2">
      <w:pPr>
        <w:pStyle w:val="Heading2"/>
      </w:pPr>
      <w:r>
        <w:t xml:space="preserve">Dependency to </w:t>
      </w:r>
      <w:r w:rsidR="00525E1E">
        <w:t>System</w:t>
      </w:r>
      <w:r>
        <w:t xml:space="preserve"> </w:t>
      </w:r>
      <w:r w:rsidR="00C65405">
        <w:t>Legend:</w:t>
      </w:r>
      <w:bookmarkStart w:id="0" w:name="_GoBack"/>
      <w:bookmarkEnd w:id="0"/>
    </w:p>
    <w:tbl>
      <w:tblPr>
        <w:tblStyle w:val="TableGrid"/>
        <w:tblW w:w="0" w:type="auto"/>
        <w:tblLook w:val="04A0" w:firstRow="1" w:lastRow="0" w:firstColumn="1" w:lastColumn="0" w:noHBand="0" w:noVBand="1"/>
        <w:tblCaption w:val="Dependenct to system legend"/>
        <w:tblDescription w:val="Shows the different responses to incidents based on their risk assessment.&#10;"/>
      </w:tblPr>
      <w:tblGrid>
        <w:gridCol w:w="2405"/>
        <w:gridCol w:w="3969"/>
        <w:gridCol w:w="3827"/>
        <w:gridCol w:w="3747"/>
      </w:tblGrid>
      <w:tr w:rsidR="00525E1E" w14:paraId="09CCC327" w14:textId="77777777" w:rsidTr="00525829">
        <w:trPr>
          <w:tblHeader/>
        </w:trPr>
        <w:tc>
          <w:tcPr>
            <w:tcW w:w="2405" w:type="dxa"/>
            <w:vAlign w:val="center"/>
          </w:tcPr>
          <w:p w14:paraId="328489C4" w14:textId="77777777" w:rsidR="00525E1E" w:rsidRPr="00CE37F2" w:rsidRDefault="00525E1E" w:rsidP="001B52AF">
            <w:pPr>
              <w:spacing w:before="0" w:beforeAutospacing="0" w:after="0" w:afterAutospacing="0" w:line="259" w:lineRule="auto"/>
              <w:jc w:val="center"/>
              <w:rPr>
                <w:b/>
                <w:bCs/>
                <w:color w:val="C00000"/>
                <w:sz w:val="20"/>
                <w:szCs w:val="20"/>
              </w:rPr>
            </w:pPr>
          </w:p>
        </w:tc>
        <w:tc>
          <w:tcPr>
            <w:tcW w:w="3969" w:type="dxa"/>
            <w:vAlign w:val="center"/>
          </w:tcPr>
          <w:p w14:paraId="52ED87ED" w14:textId="1BD4170A" w:rsidR="00525E1E" w:rsidRPr="00CE37F2" w:rsidRDefault="00525E1E" w:rsidP="001B52AF">
            <w:pPr>
              <w:spacing w:before="0" w:beforeAutospacing="0" w:after="0" w:afterAutospacing="0" w:line="259" w:lineRule="auto"/>
              <w:jc w:val="center"/>
              <w:rPr>
                <w:b/>
                <w:bCs/>
                <w:color w:val="C00000"/>
                <w:sz w:val="20"/>
                <w:szCs w:val="20"/>
              </w:rPr>
            </w:pPr>
            <w:r w:rsidRPr="00CE37F2">
              <w:rPr>
                <w:b/>
                <w:bCs/>
                <w:color w:val="C00000"/>
                <w:sz w:val="20"/>
                <w:szCs w:val="20"/>
              </w:rPr>
              <w:t>Critical</w:t>
            </w:r>
          </w:p>
        </w:tc>
        <w:tc>
          <w:tcPr>
            <w:tcW w:w="3827" w:type="dxa"/>
            <w:vAlign w:val="center"/>
          </w:tcPr>
          <w:p w14:paraId="7D84639D" w14:textId="089FAE79" w:rsidR="00525E1E" w:rsidRPr="00CE37F2" w:rsidRDefault="00525E1E" w:rsidP="001B52AF">
            <w:pPr>
              <w:spacing w:before="0" w:beforeAutospacing="0" w:after="0" w:afterAutospacing="0" w:line="259" w:lineRule="auto"/>
              <w:jc w:val="center"/>
              <w:rPr>
                <w:b/>
                <w:bCs/>
                <w:color w:val="C00000"/>
                <w:sz w:val="20"/>
                <w:szCs w:val="20"/>
              </w:rPr>
            </w:pPr>
            <w:r w:rsidRPr="00CE37F2">
              <w:rPr>
                <w:b/>
                <w:color w:val="FF6600"/>
                <w:sz w:val="20"/>
                <w:szCs w:val="20"/>
              </w:rPr>
              <w:t>Important</w:t>
            </w:r>
          </w:p>
        </w:tc>
        <w:tc>
          <w:tcPr>
            <w:tcW w:w="3747" w:type="dxa"/>
            <w:vAlign w:val="center"/>
          </w:tcPr>
          <w:p w14:paraId="5AEE7A0A" w14:textId="2850C655" w:rsidR="00525E1E" w:rsidRPr="00CE37F2" w:rsidRDefault="00525E1E" w:rsidP="001B52AF">
            <w:pPr>
              <w:spacing w:before="0" w:beforeAutospacing="0" w:after="0" w:afterAutospacing="0" w:line="259" w:lineRule="auto"/>
              <w:jc w:val="center"/>
              <w:rPr>
                <w:b/>
                <w:bCs/>
                <w:color w:val="C00000"/>
                <w:sz w:val="20"/>
                <w:szCs w:val="20"/>
              </w:rPr>
            </w:pPr>
            <w:r w:rsidRPr="001B52AF">
              <w:rPr>
                <w:rFonts w:eastAsia="Times New Roman"/>
                <w:b/>
                <w:bCs/>
                <w:color w:val="375623"/>
                <w:sz w:val="20"/>
                <w:szCs w:val="20"/>
                <w:lang w:eastAsia="en-AU"/>
              </w:rPr>
              <w:t>Useful</w:t>
            </w:r>
          </w:p>
        </w:tc>
      </w:tr>
      <w:tr w:rsidR="00525E1E" w14:paraId="2B93D416" w14:textId="77777777" w:rsidTr="001B52AF">
        <w:tc>
          <w:tcPr>
            <w:tcW w:w="2405" w:type="dxa"/>
            <w:vAlign w:val="center"/>
          </w:tcPr>
          <w:p w14:paraId="73C2CF32" w14:textId="1E602310" w:rsidR="00525E1E" w:rsidRPr="00CE37F2" w:rsidRDefault="00525E1E" w:rsidP="001B52AF">
            <w:pPr>
              <w:jc w:val="center"/>
              <w:rPr>
                <w:sz w:val="20"/>
                <w:szCs w:val="20"/>
              </w:rPr>
            </w:pPr>
            <w:r w:rsidRPr="00CE37F2">
              <w:rPr>
                <w:sz w:val="20"/>
                <w:szCs w:val="20"/>
              </w:rPr>
              <w:t>Risk assessment:</w:t>
            </w:r>
          </w:p>
        </w:tc>
        <w:tc>
          <w:tcPr>
            <w:tcW w:w="3969" w:type="dxa"/>
            <w:vAlign w:val="center"/>
          </w:tcPr>
          <w:p w14:paraId="0F6769C4" w14:textId="1C2CA483" w:rsidR="00525E1E" w:rsidRPr="00CE37F2" w:rsidRDefault="00525E1E" w:rsidP="001B52AF">
            <w:pPr>
              <w:spacing w:before="0" w:beforeAutospacing="0" w:after="160" w:afterAutospacing="0" w:line="259" w:lineRule="auto"/>
              <w:jc w:val="center"/>
              <w:rPr>
                <w:sz w:val="20"/>
                <w:szCs w:val="20"/>
              </w:rPr>
            </w:pPr>
            <w:r w:rsidRPr="00CE37F2">
              <w:rPr>
                <w:sz w:val="20"/>
                <w:szCs w:val="20"/>
              </w:rPr>
              <w:t>Key agency services are directly impacted without this supporting system.  Significant reputational and financial losses may be incurred if recovery time and recovery point objectives are not met.</w:t>
            </w:r>
          </w:p>
        </w:tc>
        <w:tc>
          <w:tcPr>
            <w:tcW w:w="3827" w:type="dxa"/>
            <w:vAlign w:val="center"/>
          </w:tcPr>
          <w:p w14:paraId="0D513955" w14:textId="77AFF5A7" w:rsidR="00525E1E" w:rsidRPr="00CE37F2" w:rsidRDefault="00525E1E" w:rsidP="001B52AF">
            <w:pPr>
              <w:spacing w:before="0" w:beforeAutospacing="0" w:after="160" w:afterAutospacing="0" w:line="259" w:lineRule="auto"/>
              <w:jc w:val="center"/>
              <w:rPr>
                <w:sz w:val="20"/>
                <w:szCs w:val="20"/>
              </w:rPr>
            </w:pPr>
            <w:r w:rsidRPr="00CE37F2">
              <w:rPr>
                <w:sz w:val="20"/>
                <w:szCs w:val="20"/>
              </w:rPr>
              <w:t>Key agency services are moderately impacted without this supporting system.  Moderate reputational and financial losses may be incurred if recovery time and recovery point objectives are not met.</w:t>
            </w:r>
          </w:p>
        </w:tc>
        <w:tc>
          <w:tcPr>
            <w:tcW w:w="3747" w:type="dxa"/>
            <w:vAlign w:val="center"/>
          </w:tcPr>
          <w:p w14:paraId="00111D0B" w14:textId="346FED1F" w:rsidR="00525E1E" w:rsidRPr="00CE37F2" w:rsidRDefault="00525E1E" w:rsidP="001B52AF">
            <w:pPr>
              <w:spacing w:before="0" w:beforeAutospacing="0" w:after="160" w:afterAutospacing="0" w:line="259" w:lineRule="auto"/>
              <w:jc w:val="center"/>
              <w:rPr>
                <w:sz w:val="20"/>
                <w:szCs w:val="20"/>
              </w:rPr>
            </w:pPr>
            <w:r w:rsidRPr="00CE37F2">
              <w:rPr>
                <w:sz w:val="20"/>
                <w:szCs w:val="20"/>
              </w:rPr>
              <w:t>Key agency services are mildly impacted without this supporting system.  Minor reputational and financial losses may be incurred if recovery time and recovery point objectives are not met.</w:t>
            </w:r>
          </w:p>
        </w:tc>
      </w:tr>
      <w:tr w:rsidR="00525E1E" w14:paraId="053CA3BE" w14:textId="77777777" w:rsidTr="001B52AF">
        <w:tc>
          <w:tcPr>
            <w:tcW w:w="2405" w:type="dxa"/>
            <w:vAlign w:val="center"/>
          </w:tcPr>
          <w:p w14:paraId="24C8CC4F" w14:textId="61105E25" w:rsidR="00525E1E" w:rsidRPr="00CE37F2" w:rsidRDefault="00525E1E" w:rsidP="001B52AF">
            <w:pPr>
              <w:jc w:val="center"/>
              <w:rPr>
                <w:sz w:val="20"/>
                <w:szCs w:val="20"/>
              </w:rPr>
            </w:pPr>
            <w:r w:rsidRPr="00CE37F2">
              <w:rPr>
                <w:sz w:val="20"/>
                <w:szCs w:val="20"/>
              </w:rPr>
              <w:t>Recovery time objective:</w:t>
            </w:r>
          </w:p>
        </w:tc>
        <w:tc>
          <w:tcPr>
            <w:tcW w:w="3969" w:type="dxa"/>
            <w:vAlign w:val="center"/>
          </w:tcPr>
          <w:p w14:paraId="613C2676" w14:textId="58F4B57D" w:rsidR="00525E1E" w:rsidRPr="00CE37F2" w:rsidRDefault="00525E1E" w:rsidP="001B52AF">
            <w:pPr>
              <w:jc w:val="center"/>
              <w:rPr>
                <w:sz w:val="20"/>
                <w:szCs w:val="20"/>
              </w:rPr>
            </w:pPr>
            <w:r w:rsidRPr="00CE37F2">
              <w:rPr>
                <w:sz w:val="20"/>
                <w:szCs w:val="20"/>
              </w:rPr>
              <w:t>10 Minutes</w:t>
            </w:r>
          </w:p>
        </w:tc>
        <w:tc>
          <w:tcPr>
            <w:tcW w:w="3827" w:type="dxa"/>
            <w:vAlign w:val="center"/>
          </w:tcPr>
          <w:p w14:paraId="5B9C5582" w14:textId="5A52468A" w:rsidR="00525E1E" w:rsidRPr="00CE37F2" w:rsidRDefault="00525E1E" w:rsidP="001B52AF">
            <w:pPr>
              <w:jc w:val="center"/>
              <w:rPr>
                <w:sz w:val="20"/>
                <w:szCs w:val="20"/>
              </w:rPr>
            </w:pPr>
            <w:r w:rsidRPr="00CE37F2">
              <w:rPr>
                <w:sz w:val="20"/>
                <w:szCs w:val="20"/>
              </w:rPr>
              <w:t>Two hours</w:t>
            </w:r>
          </w:p>
        </w:tc>
        <w:tc>
          <w:tcPr>
            <w:tcW w:w="3747" w:type="dxa"/>
            <w:vAlign w:val="center"/>
          </w:tcPr>
          <w:p w14:paraId="1789317F" w14:textId="06F5C4F4" w:rsidR="00525E1E" w:rsidRPr="00CE37F2" w:rsidRDefault="00525E1E" w:rsidP="001B52AF">
            <w:pPr>
              <w:jc w:val="center"/>
              <w:rPr>
                <w:sz w:val="20"/>
                <w:szCs w:val="20"/>
              </w:rPr>
            </w:pPr>
            <w:r w:rsidRPr="00CE37F2">
              <w:rPr>
                <w:sz w:val="20"/>
                <w:szCs w:val="20"/>
              </w:rPr>
              <w:t>Six Hours</w:t>
            </w:r>
          </w:p>
        </w:tc>
      </w:tr>
      <w:tr w:rsidR="00525E1E" w14:paraId="3B47A474" w14:textId="77777777" w:rsidTr="001B52AF">
        <w:tc>
          <w:tcPr>
            <w:tcW w:w="2405" w:type="dxa"/>
            <w:vAlign w:val="center"/>
          </w:tcPr>
          <w:p w14:paraId="6CA0F3CD" w14:textId="555E5142" w:rsidR="00525E1E" w:rsidRPr="00CE37F2" w:rsidRDefault="00525E1E" w:rsidP="001B52AF">
            <w:pPr>
              <w:jc w:val="center"/>
              <w:rPr>
                <w:sz w:val="20"/>
                <w:szCs w:val="20"/>
              </w:rPr>
            </w:pPr>
            <w:r w:rsidRPr="00CE37F2">
              <w:rPr>
                <w:sz w:val="20"/>
                <w:szCs w:val="20"/>
              </w:rPr>
              <w:t>Recovery point objective</w:t>
            </w:r>
          </w:p>
        </w:tc>
        <w:tc>
          <w:tcPr>
            <w:tcW w:w="3969" w:type="dxa"/>
            <w:vAlign w:val="center"/>
          </w:tcPr>
          <w:p w14:paraId="026251E5" w14:textId="3EE357D3" w:rsidR="00525E1E" w:rsidRPr="00CE37F2" w:rsidRDefault="00525E1E" w:rsidP="001B52AF">
            <w:pPr>
              <w:jc w:val="center"/>
              <w:rPr>
                <w:sz w:val="20"/>
                <w:szCs w:val="20"/>
              </w:rPr>
            </w:pPr>
            <w:r w:rsidRPr="00CE37F2">
              <w:rPr>
                <w:sz w:val="20"/>
                <w:szCs w:val="20"/>
              </w:rPr>
              <w:t>10 Minutes</w:t>
            </w:r>
          </w:p>
        </w:tc>
        <w:tc>
          <w:tcPr>
            <w:tcW w:w="3827" w:type="dxa"/>
            <w:vAlign w:val="center"/>
          </w:tcPr>
          <w:p w14:paraId="10EC7591" w14:textId="66452DAA" w:rsidR="00525E1E" w:rsidRPr="00CE37F2" w:rsidRDefault="00525E1E" w:rsidP="001B52AF">
            <w:pPr>
              <w:jc w:val="center"/>
              <w:rPr>
                <w:sz w:val="20"/>
                <w:szCs w:val="20"/>
              </w:rPr>
            </w:pPr>
            <w:r w:rsidRPr="00CE37F2">
              <w:rPr>
                <w:sz w:val="20"/>
                <w:szCs w:val="20"/>
              </w:rPr>
              <w:t>Five hours</w:t>
            </w:r>
          </w:p>
        </w:tc>
        <w:tc>
          <w:tcPr>
            <w:tcW w:w="3747" w:type="dxa"/>
            <w:vAlign w:val="center"/>
          </w:tcPr>
          <w:p w14:paraId="5A66F812" w14:textId="4A498801" w:rsidR="00525E1E" w:rsidRPr="00CE37F2" w:rsidRDefault="00525E1E" w:rsidP="001B52AF">
            <w:pPr>
              <w:jc w:val="center"/>
              <w:rPr>
                <w:sz w:val="20"/>
                <w:szCs w:val="20"/>
              </w:rPr>
            </w:pPr>
            <w:r w:rsidRPr="00CE37F2">
              <w:rPr>
                <w:sz w:val="20"/>
                <w:szCs w:val="20"/>
              </w:rPr>
              <w:t>One business day</w:t>
            </w:r>
          </w:p>
        </w:tc>
      </w:tr>
      <w:tr w:rsidR="00C224F7" w14:paraId="3007E676" w14:textId="77777777" w:rsidTr="001B52AF">
        <w:tc>
          <w:tcPr>
            <w:tcW w:w="2405" w:type="dxa"/>
            <w:vAlign w:val="center"/>
          </w:tcPr>
          <w:p w14:paraId="703FF023" w14:textId="59E08BC4" w:rsidR="00C224F7" w:rsidRPr="00CE37F2" w:rsidRDefault="002361E5">
            <w:pPr>
              <w:jc w:val="center"/>
              <w:rPr>
                <w:sz w:val="20"/>
                <w:szCs w:val="20"/>
              </w:rPr>
            </w:pPr>
            <w:r>
              <w:rPr>
                <w:sz w:val="20"/>
                <w:szCs w:val="20"/>
              </w:rPr>
              <w:t>System</w:t>
            </w:r>
            <w:r w:rsidR="00C224F7">
              <w:rPr>
                <w:sz w:val="20"/>
                <w:szCs w:val="20"/>
              </w:rPr>
              <w:t xml:space="preserve"> testing interval</w:t>
            </w:r>
          </w:p>
        </w:tc>
        <w:tc>
          <w:tcPr>
            <w:tcW w:w="3969" w:type="dxa"/>
            <w:vAlign w:val="center"/>
          </w:tcPr>
          <w:p w14:paraId="5FEC6E51" w14:textId="7937B1A8" w:rsidR="00C224F7" w:rsidRPr="00CE37F2" w:rsidRDefault="00C224F7" w:rsidP="001B52AF">
            <w:pPr>
              <w:jc w:val="center"/>
              <w:rPr>
                <w:sz w:val="20"/>
                <w:szCs w:val="20"/>
              </w:rPr>
            </w:pPr>
            <w:r>
              <w:rPr>
                <w:sz w:val="20"/>
                <w:szCs w:val="20"/>
              </w:rPr>
              <w:t>12 Months</w:t>
            </w:r>
          </w:p>
        </w:tc>
        <w:tc>
          <w:tcPr>
            <w:tcW w:w="3827" w:type="dxa"/>
            <w:vAlign w:val="center"/>
          </w:tcPr>
          <w:p w14:paraId="0C510028" w14:textId="7349FC46" w:rsidR="00C224F7" w:rsidRPr="00CE37F2" w:rsidRDefault="00C224F7" w:rsidP="001B52AF">
            <w:pPr>
              <w:jc w:val="center"/>
              <w:rPr>
                <w:sz w:val="20"/>
                <w:szCs w:val="20"/>
              </w:rPr>
            </w:pPr>
            <w:r>
              <w:rPr>
                <w:sz w:val="20"/>
                <w:szCs w:val="20"/>
              </w:rPr>
              <w:t>24 Months</w:t>
            </w:r>
          </w:p>
        </w:tc>
        <w:tc>
          <w:tcPr>
            <w:tcW w:w="3747" w:type="dxa"/>
            <w:vAlign w:val="center"/>
          </w:tcPr>
          <w:p w14:paraId="1A7FB322" w14:textId="7860110C" w:rsidR="00C224F7" w:rsidRPr="00CE37F2" w:rsidRDefault="00C224F7" w:rsidP="001B52AF">
            <w:pPr>
              <w:jc w:val="center"/>
              <w:rPr>
                <w:sz w:val="20"/>
                <w:szCs w:val="20"/>
              </w:rPr>
            </w:pPr>
            <w:r>
              <w:rPr>
                <w:sz w:val="20"/>
                <w:szCs w:val="20"/>
              </w:rPr>
              <w:t>24 Months</w:t>
            </w:r>
          </w:p>
        </w:tc>
      </w:tr>
    </w:tbl>
    <w:p w14:paraId="7F20B6E2" w14:textId="1F4731E7" w:rsidR="007A5BFF" w:rsidRDefault="007A5BFF" w:rsidP="00CE37F2">
      <w:pPr>
        <w:pStyle w:val="Heading2"/>
        <w:spacing w:before="100" w:after="100"/>
      </w:pPr>
      <w:r>
        <w:t>C</w:t>
      </w:r>
      <w:r w:rsidR="00692C3A">
        <w:t>onducting the Business Impact Analysis</w:t>
      </w:r>
    </w:p>
    <w:p w14:paraId="0EF251DA" w14:textId="0BBE19A8" w:rsidR="007A5BFF" w:rsidRDefault="007A5BFF" w:rsidP="00CE37F2">
      <w:pPr>
        <w:pStyle w:val="ListParagraph"/>
        <w:numPr>
          <w:ilvl w:val="0"/>
          <w:numId w:val="32"/>
        </w:numPr>
        <w:spacing w:before="0" w:beforeAutospacing="0" w:after="160" w:afterAutospacing="0" w:line="259" w:lineRule="auto"/>
        <w:jc w:val="left"/>
      </w:pPr>
      <w:r>
        <w:t>Agencies should list all business services across the top of the table.  These may begin at the highest level with the services listed in an agency budget, which may then be decomposed to as many levels as are necessary to make the assessment meaningful.  Only two levels are provided here.</w:t>
      </w:r>
    </w:p>
    <w:p w14:paraId="16EAE999" w14:textId="40F88F98" w:rsidR="007A5BFF" w:rsidRDefault="007A5BFF" w:rsidP="00CE37F2">
      <w:pPr>
        <w:pStyle w:val="ListParagraph"/>
        <w:numPr>
          <w:ilvl w:val="0"/>
          <w:numId w:val="32"/>
        </w:numPr>
        <w:spacing w:before="0" w:beforeAutospacing="0" w:after="160" w:afterAutospacing="0" w:line="259" w:lineRule="auto"/>
        <w:jc w:val="left"/>
      </w:pPr>
      <w:r>
        <w:t>Each ICT system should be listed along the left hand side of the table.  ICT practitioners should be able to provide a full itinerary of an agency’</w:t>
      </w:r>
      <w:r w:rsidR="00C2598F">
        <w:t>s systems.</w:t>
      </w:r>
    </w:p>
    <w:p w14:paraId="31CF8E8C" w14:textId="5C95F3AA" w:rsidR="006061A5" w:rsidRDefault="006061A5" w:rsidP="00CE37F2">
      <w:pPr>
        <w:pStyle w:val="ListParagraph"/>
        <w:numPr>
          <w:ilvl w:val="0"/>
          <w:numId w:val="32"/>
        </w:numPr>
        <w:spacing w:before="0" w:beforeAutospacing="0" w:after="160" w:afterAutospacing="0" w:line="259" w:lineRule="auto"/>
        <w:jc w:val="left"/>
      </w:pPr>
      <w:r>
        <w:t xml:space="preserve">Business service owners </w:t>
      </w:r>
      <w:r w:rsidR="00C2598F">
        <w:t>must</w:t>
      </w:r>
      <w:r>
        <w:t xml:space="preserve"> be responsible for determining criticality.</w:t>
      </w:r>
    </w:p>
    <w:p w14:paraId="3B2F7C91" w14:textId="1A155F6F" w:rsidR="007A5BFF" w:rsidRDefault="007A5BFF" w:rsidP="00CE37F2">
      <w:pPr>
        <w:pStyle w:val="ListParagraph"/>
        <w:numPr>
          <w:ilvl w:val="0"/>
          <w:numId w:val="32"/>
        </w:numPr>
        <w:spacing w:before="0" w:beforeAutospacing="0" w:after="160" w:afterAutospacing="0" w:line="259" w:lineRule="auto"/>
        <w:jc w:val="left"/>
      </w:pPr>
      <w:r>
        <w:t xml:space="preserve">Example criticality ratings are provided, but agencies are encouraged to develop their own based on their </w:t>
      </w:r>
      <w:r w:rsidR="004C7CE8">
        <w:t xml:space="preserve">individual </w:t>
      </w:r>
      <w:r w:rsidR="00C2598F">
        <w:t>requirements</w:t>
      </w:r>
      <w:r w:rsidR="004C7CE8">
        <w:t>.  For agencies with life-critical services, these ratings should be changed to reflect this.  These could be linked to the risk rating system utilised in the agency whole-of-business risk matrix.</w:t>
      </w:r>
    </w:p>
    <w:p w14:paraId="1A4CFFB7" w14:textId="64614C0F" w:rsidR="007A5BFF" w:rsidRDefault="007A5BFF" w:rsidP="00CE37F2">
      <w:pPr>
        <w:pStyle w:val="ListParagraph"/>
        <w:numPr>
          <w:ilvl w:val="0"/>
          <w:numId w:val="32"/>
        </w:numPr>
        <w:spacing w:before="0" w:beforeAutospacing="0" w:after="160" w:afterAutospacing="0" w:line="259" w:lineRule="auto"/>
        <w:jc w:val="left"/>
      </w:pPr>
      <w:r>
        <w:t>Agencies may wish to allocate recovery point and recovery time objectives based on criticality, or they may find it more useful to allocate these to each system</w:t>
      </w:r>
      <w:r w:rsidR="004C7CE8">
        <w:t xml:space="preserve"> individually</w:t>
      </w:r>
      <w:r>
        <w:t>.</w:t>
      </w:r>
      <w:r w:rsidR="001B52AF">
        <w:t xml:space="preserve">  The times provided here are examples only; these should be based on business service requirements.</w:t>
      </w:r>
    </w:p>
    <w:p w14:paraId="0C255465" w14:textId="395345DF" w:rsidR="007A5BFF" w:rsidRDefault="007A5BFF" w:rsidP="00CE37F2">
      <w:pPr>
        <w:pStyle w:val="ListParagraph"/>
        <w:numPr>
          <w:ilvl w:val="0"/>
          <w:numId w:val="32"/>
        </w:numPr>
        <w:spacing w:before="0" w:beforeAutospacing="0" w:after="160" w:afterAutospacing="0" w:line="259" w:lineRule="auto"/>
        <w:jc w:val="left"/>
      </w:pPr>
      <w:r>
        <w:t xml:space="preserve">A system’s ICT disaster recovery arrangements should be based on its highest level of criticality; that is </w:t>
      </w:r>
      <w:r w:rsidR="004C7CE8">
        <w:t>a system that is critical to only one business function but useful to all others should have arrangements based on it being a critical system.</w:t>
      </w:r>
    </w:p>
    <w:p w14:paraId="77B9370B" w14:textId="0D0321DA" w:rsidR="00C224F7" w:rsidRPr="00CE37F2" w:rsidRDefault="00C224F7" w:rsidP="00CE37F2">
      <w:pPr>
        <w:pStyle w:val="ListParagraph"/>
        <w:numPr>
          <w:ilvl w:val="0"/>
          <w:numId w:val="32"/>
        </w:numPr>
        <w:spacing w:before="0" w:beforeAutospacing="0" w:after="160" w:afterAutospacing="0" w:line="259" w:lineRule="auto"/>
        <w:jc w:val="left"/>
      </w:pPr>
      <w:r>
        <w:t>Agencies may wish to use the BIA as a method for determining and agreeing a system-level testing schedule for the relevant ICT disaster recovery arrangements.</w:t>
      </w:r>
      <w:r w:rsidR="00360F6B">
        <w:t xml:space="preserve">  However, this approach will not cover any infrastructure-level testing requirements.</w:t>
      </w:r>
    </w:p>
    <w:sectPr w:rsidR="00C224F7" w:rsidRPr="00CE37F2" w:rsidSect="00CE37F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0DC40" w14:textId="77777777" w:rsidR="00AD1403" w:rsidRDefault="00AD1403" w:rsidP="00A7514E">
      <w:pPr>
        <w:spacing w:after="0"/>
      </w:pPr>
      <w:r>
        <w:separator/>
      </w:r>
    </w:p>
  </w:endnote>
  <w:endnote w:type="continuationSeparator" w:id="0">
    <w:p w14:paraId="11D58A80" w14:textId="77777777" w:rsidR="00AD1403" w:rsidRDefault="00AD1403" w:rsidP="00A7514E">
      <w:pPr>
        <w:spacing w:after="0"/>
      </w:pPr>
      <w:r>
        <w:continuationSeparator/>
      </w:r>
    </w:p>
  </w:endnote>
  <w:endnote w:type="continuationNotice" w:id="1">
    <w:p w14:paraId="507BAB30" w14:textId="77777777" w:rsidR="00AD1403" w:rsidRDefault="00AD140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83003"/>
      <w:docPartObj>
        <w:docPartGallery w:val="Page Numbers (Bottom of Page)"/>
        <w:docPartUnique/>
      </w:docPartObj>
    </w:sdtPr>
    <w:sdtEndPr>
      <w:rPr>
        <w:noProof/>
      </w:rPr>
    </w:sdtEndPr>
    <w:sdtContent>
      <w:p w14:paraId="28FFA8AC" w14:textId="349CEDDA" w:rsidR="0074437E" w:rsidRDefault="0074437E" w:rsidP="00844050">
        <w:pPr>
          <w:pStyle w:val="Footer"/>
          <w:jc w:val="center"/>
        </w:pPr>
        <w:r>
          <w:t xml:space="preserve">Page </w:t>
        </w:r>
        <w:r>
          <w:fldChar w:fldCharType="begin"/>
        </w:r>
        <w:r>
          <w:instrText xml:space="preserve"> PAGE   \* MERGEFORMAT </w:instrText>
        </w:r>
        <w:r>
          <w:fldChar w:fldCharType="separate"/>
        </w:r>
        <w:r>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2F7C9" w14:textId="19D41B5D" w:rsidR="0074437E" w:rsidRPr="00F1046E" w:rsidRDefault="0074437E" w:rsidP="00F104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855589"/>
      <w:docPartObj>
        <w:docPartGallery w:val="Page Numbers (Bottom of Page)"/>
        <w:docPartUnique/>
      </w:docPartObj>
    </w:sdtPr>
    <w:sdtEndPr>
      <w:rPr>
        <w:noProof/>
        <w:sz w:val="20"/>
      </w:rPr>
    </w:sdtEndPr>
    <w:sdtContent>
      <w:p w14:paraId="107E2891" w14:textId="49AC49AF" w:rsidR="0074437E" w:rsidRPr="00BB389F" w:rsidRDefault="0074437E" w:rsidP="002305BF">
        <w:pPr>
          <w:pStyle w:val="Footer"/>
          <w:jc w:val="right"/>
          <w:rPr>
            <w:sz w:val="20"/>
          </w:rPr>
        </w:pPr>
        <w:r w:rsidRPr="002305BF">
          <w:rPr>
            <w:sz w:val="20"/>
          </w:rPr>
          <w:t xml:space="preserve">Page </w:t>
        </w:r>
        <w:r w:rsidRPr="002305BF">
          <w:rPr>
            <w:sz w:val="20"/>
          </w:rPr>
          <w:fldChar w:fldCharType="begin"/>
        </w:r>
        <w:r w:rsidRPr="002305BF">
          <w:rPr>
            <w:sz w:val="20"/>
          </w:rPr>
          <w:instrText xml:space="preserve"> PAGE   \* MERGEFORMAT </w:instrText>
        </w:r>
        <w:r w:rsidRPr="002305BF">
          <w:rPr>
            <w:sz w:val="20"/>
          </w:rPr>
          <w:fldChar w:fldCharType="separate"/>
        </w:r>
        <w:r w:rsidR="00525829">
          <w:rPr>
            <w:noProof/>
            <w:sz w:val="20"/>
          </w:rPr>
          <w:t>11</w:t>
        </w:r>
        <w:r w:rsidRPr="002305BF">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AB62F" w14:textId="77777777" w:rsidR="00AD1403" w:rsidRDefault="00AD1403" w:rsidP="00A7514E">
      <w:pPr>
        <w:spacing w:after="0"/>
      </w:pPr>
      <w:r>
        <w:separator/>
      </w:r>
    </w:p>
  </w:footnote>
  <w:footnote w:type="continuationSeparator" w:id="0">
    <w:p w14:paraId="522E81C7" w14:textId="77777777" w:rsidR="00AD1403" w:rsidRDefault="00AD1403" w:rsidP="00A7514E">
      <w:pPr>
        <w:spacing w:after="0"/>
      </w:pPr>
      <w:r>
        <w:continuationSeparator/>
      </w:r>
    </w:p>
  </w:footnote>
  <w:footnote w:type="continuationNotice" w:id="1">
    <w:p w14:paraId="6D8F4458" w14:textId="77777777" w:rsidR="00AD1403" w:rsidRDefault="00AD140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93DD4" w14:textId="4B0FC8DF" w:rsidR="0074437E" w:rsidRDefault="00744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1173"/>
    <w:multiLevelType w:val="hybridMultilevel"/>
    <w:tmpl w:val="39B40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93E30"/>
    <w:multiLevelType w:val="hybridMultilevel"/>
    <w:tmpl w:val="DB7CB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E70E94"/>
    <w:multiLevelType w:val="hybridMultilevel"/>
    <w:tmpl w:val="DE806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94AFD"/>
    <w:multiLevelType w:val="hybridMultilevel"/>
    <w:tmpl w:val="325EC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6321FA"/>
    <w:multiLevelType w:val="hybridMultilevel"/>
    <w:tmpl w:val="901056C4"/>
    <w:lvl w:ilvl="0" w:tplc="4A761ED0">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546FC8"/>
    <w:multiLevelType w:val="hybridMultilevel"/>
    <w:tmpl w:val="52588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6058AE"/>
    <w:multiLevelType w:val="hybridMultilevel"/>
    <w:tmpl w:val="C58049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1A0313"/>
    <w:multiLevelType w:val="hybridMultilevel"/>
    <w:tmpl w:val="49BAD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571982"/>
    <w:multiLevelType w:val="hybridMultilevel"/>
    <w:tmpl w:val="68BED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740703"/>
    <w:multiLevelType w:val="hybridMultilevel"/>
    <w:tmpl w:val="46988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0A3DB9"/>
    <w:multiLevelType w:val="hybridMultilevel"/>
    <w:tmpl w:val="5C581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572A5D"/>
    <w:multiLevelType w:val="hybridMultilevel"/>
    <w:tmpl w:val="E7429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F85C8D"/>
    <w:multiLevelType w:val="hybridMultilevel"/>
    <w:tmpl w:val="8AFA0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71759C"/>
    <w:multiLevelType w:val="hybridMultilevel"/>
    <w:tmpl w:val="4E2A0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50765B"/>
    <w:multiLevelType w:val="hybridMultilevel"/>
    <w:tmpl w:val="86525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A45A50"/>
    <w:multiLevelType w:val="hybridMultilevel"/>
    <w:tmpl w:val="41A603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061E0B"/>
    <w:multiLevelType w:val="hybridMultilevel"/>
    <w:tmpl w:val="6BC60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5E7A25"/>
    <w:multiLevelType w:val="hybridMultilevel"/>
    <w:tmpl w:val="3B8A7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9601D5"/>
    <w:multiLevelType w:val="hybridMultilevel"/>
    <w:tmpl w:val="C9D0C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CA7F22"/>
    <w:multiLevelType w:val="hybridMultilevel"/>
    <w:tmpl w:val="21BEC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581E7F"/>
    <w:multiLevelType w:val="hybridMultilevel"/>
    <w:tmpl w:val="34D070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B215D3F"/>
    <w:multiLevelType w:val="hybridMultilevel"/>
    <w:tmpl w:val="19D2E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A5604A"/>
    <w:multiLevelType w:val="hybridMultilevel"/>
    <w:tmpl w:val="6DE42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7610F0"/>
    <w:multiLevelType w:val="hybridMultilevel"/>
    <w:tmpl w:val="0A885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1911D0"/>
    <w:multiLevelType w:val="hybridMultilevel"/>
    <w:tmpl w:val="F9246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293559"/>
    <w:multiLevelType w:val="hybridMultilevel"/>
    <w:tmpl w:val="B3F0A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041668"/>
    <w:multiLevelType w:val="hybridMultilevel"/>
    <w:tmpl w:val="732A8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783BC6"/>
    <w:multiLevelType w:val="hybridMultilevel"/>
    <w:tmpl w:val="9702AA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D86ABF"/>
    <w:multiLevelType w:val="hybridMultilevel"/>
    <w:tmpl w:val="BB88E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9A094D"/>
    <w:multiLevelType w:val="hybridMultilevel"/>
    <w:tmpl w:val="17825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728B9"/>
    <w:multiLevelType w:val="hybridMultilevel"/>
    <w:tmpl w:val="79BCBFB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9337744"/>
    <w:multiLevelType w:val="hybridMultilevel"/>
    <w:tmpl w:val="735AE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15"/>
  </w:num>
  <w:num w:numId="4">
    <w:abstractNumId w:val="29"/>
  </w:num>
  <w:num w:numId="5">
    <w:abstractNumId w:val="17"/>
  </w:num>
  <w:num w:numId="6">
    <w:abstractNumId w:val="23"/>
  </w:num>
  <w:num w:numId="7">
    <w:abstractNumId w:val="25"/>
  </w:num>
  <w:num w:numId="8">
    <w:abstractNumId w:val="10"/>
  </w:num>
  <w:num w:numId="9">
    <w:abstractNumId w:val="14"/>
  </w:num>
  <w:num w:numId="10">
    <w:abstractNumId w:val="28"/>
  </w:num>
  <w:num w:numId="11">
    <w:abstractNumId w:val="11"/>
  </w:num>
  <w:num w:numId="12">
    <w:abstractNumId w:val="8"/>
  </w:num>
  <w:num w:numId="13">
    <w:abstractNumId w:val="30"/>
  </w:num>
  <w:num w:numId="14">
    <w:abstractNumId w:val="0"/>
  </w:num>
  <w:num w:numId="15">
    <w:abstractNumId w:val="13"/>
  </w:num>
  <w:num w:numId="16">
    <w:abstractNumId w:val="9"/>
  </w:num>
  <w:num w:numId="17">
    <w:abstractNumId w:val="1"/>
  </w:num>
  <w:num w:numId="18">
    <w:abstractNumId w:val="7"/>
  </w:num>
  <w:num w:numId="19">
    <w:abstractNumId w:val="21"/>
  </w:num>
  <w:num w:numId="20">
    <w:abstractNumId w:val="3"/>
  </w:num>
  <w:num w:numId="21">
    <w:abstractNumId w:val="27"/>
  </w:num>
  <w:num w:numId="22">
    <w:abstractNumId w:val="2"/>
  </w:num>
  <w:num w:numId="23">
    <w:abstractNumId w:val="19"/>
  </w:num>
  <w:num w:numId="24">
    <w:abstractNumId w:val="31"/>
  </w:num>
  <w:num w:numId="25">
    <w:abstractNumId w:val="12"/>
  </w:num>
  <w:num w:numId="26">
    <w:abstractNumId w:val="26"/>
  </w:num>
  <w:num w:numId="27">
    <w:abstractNumId w:val="22"/>
  </w:num>
  <w:num w:numId="28">
    <w:abstractNumId w:val="24"/>
  </w:num>
  <w:num w:numId="29">
    <w:abstractNumId w:val="4"/>
  </w:num>
  <w:num w:numId="30">
    <w:abstractNumId w:val="18"/>
  </w:num>
  <w:num w:numId="31">
    <w:abstractNumId w:val="1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1"/>
  <w:proofState w:spelling="clean" w:grammar="clean"/>
  <w:defaultTabStop w:val="720"/>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D44"/>
    <w:rsid w:val="000008C4"/>
    <w:rsid w:val="0000148A"/>
    <w:rsid w:val="00001EC6"/>
    <w:rsid w:val="00004CCD"/>
    <w:rsid w:val="00012736"/>
    <w:rsid w:val="000138E0"/>
    <w:rsid w:val="00013A78"/>
    <w:rsid w:val="000162AE"/>
    <w:rsid w:val="00022512"/>
    <w:rsid w:val="00026472"/>
    <w:rsid w:val="000322D7"/>
    <w:rsid w:val="00041BE9"/>
    <w:rsid w:val="0005528C"/>
    <w:rsid w:val="00055750"/>
    <w:rsid w:val="00057872"/>
    <w:rsid w:val="00060390"/>
    <w:rsid w:val="00062138"/>
    <w:rsid w:val="00063793"/>
    <w:rsid w:val="00082DA6"/>
    <w:rsid w:val="00093726"/>
    <w:rsid w:val="00093F18"/>
    <w:rsid w:val="00097BDB"/>
    <w:rsid w:val="000B5D40"/>
    <w:rsid w:val="000C7FC1"/>
    <w:rsid w:val="000D4D6B"/>
    <w:rsid w:val="000D644C"/>
    <w:rsid w:val="000D7CE3"/>
    <w:rsid w:val="000E259E"/>
    <w:rsid w:val="000E2CC7"/>
    <w:rsid w:val="000F7EB6"/>
    <w:rsid w:val="001161E9"/>
    <w:rsid w:val="00122AA1"/>
    <w:rsid w:val="00136E8C"/>
    <w:rsid w:val="00140DB5"/>
    <w:rsid w:val="001426F9"/>
    <w:rsid w:val="0015152E"/>
    <w:rsid w:val="00152411"/>
    <w:rsid w:val="0015503A"/>
    <w:rsid w:val="001655D4"/>
    <w:rsid w:val="00170CB8"/>
    <w:rsid w:val="00174F27"/>
    <w:rsid w:val="0017550F"/>
    <w:rsid w:val="001939D5"/>
    <w:rsid w:val="00194150"/>
    <w:rsid w:val="00195EF6"/>
    <w:rsid w:val="001A2179"/>
    <w:rsid w:val="001A38F3"/>
    <w:rsid w:val="001A5F52"/>
    <w:rsid w:val="001B23C5"/>
    <w:rsid w:val="001B2AC9"/>
    <w:rsid w:val="001B3510"/>
    <w:rsid w:val="001B52AF"/>
    <w:rsid w:val="001B5B86"/>
    <w:rsid w:val="001C595E"/>
    <w:rsid w:val="001C5A22"/>
    <w:rsid w:val="001E0106"/>
    <w:rsid w:val="001E0621"/>
    <w:rsid w:val="001F63E1"/>
    <w:rsid w:val="002138D8"/>
    <w:rsid w:val="00227F81"/>
    <w:rsid w:val="002305BF"/>
    <w:rsid w:val="00232027"/>
    <w:rsid w:val="0023445B"/>
    <w:rsid w:val="002361E5"/>
    <w:rsid w:val="002510E7"/>
    <w:rsid w:val="00254D99"/>
    <w:rsid w:val="00264E9B"/>
    <w:rsid w:val="00266D87"/>
    <w:rsid w:val="00266D99"/>
    <w:rsid w:val="002736CC"/>
    <w:rsid w:val="00273EA2"/>
    <w:rsid w:val="00277755"/>
    <w:rsid w:val="00283624"/>
    <w:rsid w:val="00290614"/>
    <w:rsid w:val="0029367F"/>
    <w:rsid w:val="002A4AB1"/>
    <w:rsid w:val="002A4B6D"/>
    <w:rsid w:val="002A6613"/>
    <w:rsid w:val="002B7469"/>
    <w:rsid w:val="002B7FC3"/>
    <w:rsid w:val="002C5C1C"/>
    <w:rsid w:val="002D06CE"/>
    <w:rsid w:val="002D0ECE"/>
    <w:rsid w:val="002D5EC5"/>
    <w:rsid w:val="002E2D44"/>
    <w:rsid w:val="002E74DB"/>
    <w:rsid w:val="002E7910"/>
    <w:rsid w:val="00304EE6"/>
    <w:rsid w:val="003113F1"/>
    <w:rsid w:val="00312D2E"/>
    <w:rsid w:val="003144F1"/>
    <w:rsid w:val="00317D6D"/>
    <w:rsid w:val="00330625"/>
    <w:rsid w:val="003308B3"/>
    <w:rsid w:val="0033377E"/>
    <w:rsid w:val="00336BF0"/>
    <w:rsid w:val="00340357"/>
    <w:rsid w:val="00345294"/>
    <w:rsid w:val="00345D59"/>
    <w:rsid w:val="003522D8"/>
    <w:rsid w:val="0035737E"/>
    <w:rsid w:val="00360F6B"/>
    <w:rsid w:val="003618DE"/>
    <w:rsid w:val="00362646"/>
    <w:rsid w:val="0036352B"/>
    <w:rsid w:val="00372BEF"/>
    <w:rsid w:val="00380BA9"/>
    <w:rsid w:val="00382844"/>
    <w:rsid w:val="00394FB1"/>
    <w:rsid w:val="003A062E"/>
    <w:rsid w:val="003A66D6"/>
    <w:rsid w:val="003A67B4"/>
    <w:rsid w:val="003B1B59"/>
    <w:rsid w:val="003B5DE1"/>
    <w:rsid w:val="003C0CF6"/>
    <w:rsid w:val="003C1E9E"/>
    <w:rsid w:val="003C2282"/>
    <w:rsid w:val="003C2735"/>
    <w:rsid w:val="003C6862"/>
    <w:rsid w:val="003D6268"/>
    <w:rsid w:val="003E00BD"/>
    <w:rsid w:val="003E1131"/>
    <w:rsid w:val="003E12B0"/>
    <w:rsid w:val="004060F5"/>
    <w:rsid w:val="004134A9"/>
    <w:rsid w:val="0042293E"/>
    <w:rsid w:val="004231F4"/>
    <w:rsid w:val="004233E3"/>
    <w:rsid w:val="004268DF"/>
    <w:rsid w:val="004349C3"/>
    <w:rsid w:val="00437642"/>
    <w:rsid w:val="00440308"/>
    <w:rsid w:val="00440D1A"/>
    <w:rsid w:val="00441115"/>
    <w:rsid w:val="004449E9"/>
    <w:rsid w:val="00451B5D"/>
    <w:rsid w:val="00454414"/>
    <w:rsid w:val="00462E5E"/>
    <w:rsid w:val="0046331E"/>
    <w:rsid w:val="00466BB5"/>
    <w:rsid w:val="004673BC"/>
    <w:rsid w:val="004676C7"/>
    <w:rsid w:val="00474E5B"/>
    <w:rsid w:val="00475C07"/>
    <w:rsid w:val="00476F7C"/>
    <w:rsid w:val="00477C94"/>
    <w:rsid w:val="00483FE9"/>
    <w:rsid w:val="004A258C"/>
    <w:rsid w:val="004C4992"/>
    <w:rsid w:val="004C4ED7"/>
    <w:rsid w:val="004C7CE8"/>
    <w:rsid w:val="004D4AC0"/>
    <w:rsid w:val="004E5245"/>
    <w:rsid w:val="004E7189"/>
    <w:rsid w:val="004F1B03"/>
    <w:rsid w:val="004F2DBA"/>
    <w:rsid w:val="004F6D60"/>
    <w:rsid w:val="005042CE"/>
    <w:rsid w:val="00506956"/>
    <w:rsid w:val="00507469"/>
    <w:rsid w:val="00513117"/>
    <w:rsid w:val="00525829"/>
    <w:rsid w:val="00525E1E"/>
    <w:rsid w:val="0052676F"/>
    <w:rsid w:val="00533EBA"/>
    <w:rsid w:val="005357C5"/>
    <w:rsid w:val="00537ED6"/>
    <w:rsid w:val="005418D2"/>
    <w:rsid w:val="0055705C"/>
    <w:rsid w:val="005619AA"/>
    <w:rsid w:val="0056382E"/>
    <w:rsid w:val="00563E43"/>
    <w:rsid w:val="00565FE5"/>
    <w:rsid w:val="00567BE9"/>
    <w:rsid w:val="0057039B"/>
    <w:rsid w:val="005710BA"/>
    <w:rsid w:val="00582049"/>
    <w:rsid w:val="005853F9"/>
    <w:rsid w:val="005855CD"/>
    <w:rsid w:val="00593A46"/>
    <w:rsid w:val="00594A61"/>
    <w:rsid w:val="00594F5D"/>
    <w:rsid w:val="00597F14"/>
    <w:rsid w:val="005A2164"/>
    <w:rsid w:val="005A30ED"/>
    <w:rsid w:val="005A3341"/>
    <w:rsid w:val="005A5541"/>
    <w:rsid w:val="005B67EC"/>
    <w:rsid w:val="005C118B"/>
    <w:rsid w:val="005C43D7"/>
    <w:rsid w:val="005C5436"/>
    <w:rsid w:val="005D4A23"/>
    <w:rsid w:val="005D5419"/>
    <w:rsid w:val="005D557F"/>
    <w:rsid w:val="005E3ADA"/>
    <w:rsid w:val="005E4404"/>
    <w:rsid w:val="005E747A"/>
    <w:rsid w:val="005E79F7"/>
    <w:rsid w:val="005F42EE"/>
    <w:rsid w:val="005F47A6"/>
    <w:rsid w:val="005F74D5"/>
    <w:rsid w:val="00600000"/>
    <w:rsid w:val="00600CA8"/>
    <w:rsid w:val="006040DD"/>
    <w:rsid w:val="0060542B"/>
    <w:rsid w:val="006061A5"/>
    <w:rsid w:val="00606F69"/>
    <w:rsid w:val="00611B92"/>
    <w:rsid w:val="00612BCB"/>
    <w:rsid w:val="00630477"/>
    <w:rsid w:val="006329A5"/>
    <w:rsid w:val="00633B86"/>
    <w:rsid w:val="00634652"/>
    <w:rsid w:val="00642AF7"/>
    <w:rsid w:val="00655222"/>
    <w:rsid w:val="00662CE2"/>
    <w:rsid w:val="00665389"/>
    <w:rsid w:val="0066715E"/>
    <w:rsid w:val="00673923"/>
    <w:rsid w:val="00681B23"/>
    <w:rsid w:val="00683008"/>
    <w:rsid w:val="00690099"/>
    <w:rsid w:val="00692C3A"/>
    <w:rsid w:val="00696320"/>
    <w:rsid w:val="006A70A0"/>
    <w:rsid w:val="006B3BFB"/>
    <w:rsid w:val="006B5DCF"/>
    <w:rsid w:val="006C1978"/>
    <w:rsid w:val="006C2F92"/>
    <w:rsid w:val="006C62EA"/>
    <w:rsid w:val="006D075E"/>
    <w:rsid w:val="006D43A2"/>
    <w:rsid w:val="006E184F"/>
    <w:rsid w:val="006E275A"/>
    <w:rsid w:val="006E56F2"/>
    <w:rsid w:val="006E7BE9"/>
    <w:rsid w:val="006E7D58"/>
    <w:rsid w:val="006F2859"/>
    <w:rsid w:val="006F3327"/>
    <w:rsid w:val="006F3F48"/>
    <w:rsid w:val="006F428E"/>
    <w:rsid w:val="00701366"/>
    <w:rsid w:val="00701F7E"/>
    <w:rsid w:val="007038D9"/>
    <w:rsid w:val="007075F8"/>
    <w:rsid w:val="007124D5"/>
    <w:rsid w:val="0071482F"/>
    <w:rsid w:val="00714DD7"/>
    <w:rsid w:val="00734AEA"/>
    <w:rsid w:val="00734F0E"/>
    <w:rsid w:val="007434E4"/>
    <w:rsid w:val="0074437E"/>
    <w:rsid w:val="00751DAC"/>
    <w:rsid w:val="0077347C"/>
    <w:rsid w:val="00774484"/>
    <w:rsid w:val="007746DB"/>
    <w:rsid w:val="00776C2C"/>
    <w:rsid w:val="00786D7F"/>
    <w:rsid w:val="0079005B"/>
    <w:rsid w:val="00795077"/>
    <w:rsid w:val="007A5BFF"/>
    <w:rsid w:val="007B7054"/>
    <w:rsid w:val="007C3AFA"/>
    <w:rsid w:val="007D2016"/>
    <w:rsid w:val="007D3C03"/>
    <w:rsid w:val="007D3F42"/>
    <w:rsid w:val="00802D26"/>
    <w:rsid w:val="00810BFD"/>
    <w:rsid w:val="00817BA5"/>
    <w:rsid w:val="00823D2A"/>
    <w:rsid w:val="00824261"/>
    <w:rsid w:val="008259E9"/>
    <w:rsid w:val="00825BE2"/>
    <w:rsid w:val="00826772"/>
    <w:rsid w:val="0083159A"/>
    <w:rsid w:val="00831A7F"/>
    <w:rsid w:val="00835391"/>
    <w:rsid w:val="00835C02"/>
    <w:rsid w:val="00841669"/>
    <w:rsid w:val="00844050"/>
    <w:rsid w:val="00844D3B"/>
    <w:rsid w:val="00850B56"/>
    <w:rsid w:val="00851043"/>
    <w:rsid w:val="00880190"/>
    <w:rsid w:val="00882921"/>
    <w:rsid w:val="00890FB5"/>
    <w:rsid w:val="0089262E"/>
    <w:rsid w:val="00892CB9"/>
    <w:rsid w:val="00896A20"/>
    <w:rsid w:val="00896C5A"/>
    <w:rsid w:val="008A436D"/>
    <w:rsid w:val="008A4561"/>
    <w:rsid w:val="008B3B00"/>
    <w:rsid w:val="008B7376"/>
    <w:rsid w:val="008C3FC0"/>
    <w:rsid w:val="008C4349"/>
    <w:rsid w:val="008C5911"/>
    <w:rsid w:val="008C6DF0"/>
    <w:rsid w:val="008D327A"/>
    <w:rsid w:val="008E77C3"/>
    <w:rsid w:val="008F08EA"/>
    <w:rsid w:val="008F1509"/>
    <w:rsid w:val="008F3F20"/>
    <w:rsid w:val="00901EB2"/>
    <w:rsid w:val="0090528F"/>
    <w:rsid w:val="0092071B"/>
    <w:rsid w:val="00925B85"/>
    <w:rsid w:val="009413AB"/>
    <w:rsid w:val="00943896"/>
    <w:rsid w:val="00951D4D"/>
    <w:rsid w:val="009532BB"/>
    <w:rsid w:val="009604AF"/>
    <w:rsid w:val="0096126B"/>
    <w:rsid w:val="009662D4"/>
    <w:rsid w:val="00971E81"/>
    <w:rsid w:val="00991162"/>
    <w:rsid w:val="00991A42"/>
    <w:rsid w:val="00995203"/>
    <w:rsid w:val="009A3395"/>
    <w:rsid w:val="009B22FE"/>
    <w:rsid w:val="009B2C95"/>
    <w:rsid w:val="009B2F37"/>
    <w:rsid w:val="009B4B0C"/>
    <w:rsid w:val="009B54A3"/>
    <w:rsid w:val="009B5F68"/>
    <w:rsid w:val="009C5385"/>
    <w:rsid w:val="009D4B42"/>
    <w:rsid w:val="009D4F71"/>
    <w:rsid w:val="009D7B1D"/>
    <w:rsid w:val="009E5807"/>
    <w:rsid w:val="009F46C9"/>
    <w:rsid w:val="009F7627"/>
    <w:rsid w:val="00A01602"/>
    <w:rsid w:val="00A02E9E"/>
    <w:rsid w:val="00A136B2"/>
    <w:rsid w:val="00A13EE1"/>
    <w:rsid w:val="00A141A9"/>
    <w:rsid w:val="00A15340"/>
    <w:rsid w:val="00A211DA"/>
    <w:rsid w:val="00A235AA"/>
    <w:rsid w:val="00A246F8"/>
    <w:rsid w:val="00A25ADF"/>
    <w:rsid w:val="00A416A4"/>
    <w:rsid w:val="00A46689"/>
    <w:rsid w:val="00A46EE6"/>
    <w:rsid w:val="00A53195"/>
    <w:rsid w:val="00A5618D"/>
    <w:rsid w:val="00A60FD9"/>
    <w:rsid w:val="00A67B77"/>
    <w:rsid w:val="00A72634"/>
    <w:rsid w:val="00A73474"/>
    <w:rsid w:val="00A7514E"/>
    <w:rsid w:val="00A752C6"/>
    <w:rsid w:val="00A761E9"/>
    <w:rsid w:val="00A773B5"/>
    <w:rsid w:val="00AA24D3"/>
    <w:rsid w:val="00AB19DE"/>
    <w:rsid w:val="00AB330E"/>
    <w:rsid w:val="00AB5AC3"/>
    <w:rsid w:val="00AC1102"/>
    <w:rsid w:val="00AC5BD0"/>
    <w:rsid w:val="00AD1403"/>
    <w:rsid w:val="00AD6AA8"/>
    <w:rsid w:val="00AE2680"/>
    <w:rsid w:val="00AE6604"/>
    <w:rsid w:val="00AE686D"/>
    <w:rsid w:val="00AF0C43"/>
    <w:rsid w:val="00AF483A"/>
    <w:rsid w:val="00AF6439"/>
    <w:rsid w:val="00B0095D"/>
    <w:rsid w:val="00B14028"/>
    <w:rsid w:val="00B310DF"/>
    <w:rsid w:val="00B37E9D"/>
    <w:rsid w:val="00B40DFD"/>
    <w:rsid w:val="00B42DD9"/>
    <w:rsid w:val="00B467C4"/>
    <w:rsid w:val="00B4745B"/>
    <w:rsid w:val="00B55646"/>
    <w:rsid w:val="00B64E15"/>
    <w:rsid w:val="00B82F59"/>
    <w:rsid w:val="00B87FD7"/>
    <w:rsid w:val="00BA4B44"/>
    <w:rsid w:val="00BB0294"/>
    <w:rsid w:val="00BB2034"/>
    <w:rsid w:val="00BB389F"/>
    <w:rsid w:val="00BB5CB7"/>
    <w:rsid w:val="00BE6E90"/>
    <w:rsid w:val="00BF0B25"/>
    <w:rsid w:val="00C01AA6"/>
    <w:rsid w:val="00C03949"/>
    <w:rsid w:val="00C065A0"/>
    <w:rsid w:val="00C073B7"/>
    <w:rsid w:val="00C15EB5"/>
    <w:rsid w:val="00C224F7"/>
    <w:rsid w:val="00C2598F"/>
    <w:rsid w:val="00C411FD"/>
    <w:rsid w:val="00C47A26"/>
    <w:rsid w:val="00C65405"/>
    <w:rsid w:val="00C7163A"/>
    <w:rsid w:val="00C718D6"/>
    <w:rsid w:val="00C731B7"/>
    <w:rsid w:val="00C80E9D"/>
    <w:rsid w:val="00C87538"/>
    <w:rsid w:val="00C902FF"/>
    <w:rsid w:val="00C92582"/>
    <w:rsid w:val="00C93104"/>
    <w:rsid w:val="00C97393"/>
    <w:rsid w:val="00CA4DA5"/>
    <w:rsid w:val="00CB103D"/>
    <w:rsid w:val="00CB1E56"/>
    <w:rsid w:val="00CC5677"/>
    <w:rsid w:val="00CC75C5"/>
    <w:rsid w:val="00CD3A0F"/>
    <w:rsid w:val="00CD7DE7"/>
    <w:rsid w:val="00CE37F2"/>
    <w:rsid w:val="00CF3C41"/>
    <w:rsid w:val="00D137B1"/>
    <w:rsid w:val="00D17B31"/>
    <w:rsid w:val="00D2571F"/>
    <w:rsid w:val="00D401D6"/>
    <w:rsid w:val="00D43E6F"/>
    <w:rsid w:val="00D45B52"/>
    <w:rsid w:val="00D51D05"/>
    <w:rsid w:val="00D570DB"/>
    <w:rsid w:val="00D65505"/>
    <w:rsid w:val="00D66097"/>
    <w:rsid w:val="00D7581A"/>
    <w:rsid w:val="00D84A74"/>
    <w:rsid w:val="00D84A7D"/>
    <w:rsid w:val="00D87E12"/>
    <w:rsid w:val="00DA5E78"/>
    <w:rsid w:val="00DA6772"/>
    <w:rsid w:val="00DA69C4"/>
    <w:rsid w:val="00DB2890"/>
    <w:rsid w:val="00DB28E5"/>
    <w:rsid w:val="00DB2A0E"/>
    <w:rsid w:val="00DB3652"/>
    <w:rsid w:val="00DC0439"/>
    <w:rsid w:val="00DC667C"/>
    <w:rsid w:val="00DD570D"/>
    <w:rsid w:val="00DE2056"/>
    <w:rsid w:val="00DE21DE"/>
    <w:rsid w:val="00E041C0"/>
    <w:rsid w:val="00E12CCC"/>
    <w:rsid w:val="00E20A59"/>
    <w:rsid w:val="00E234FD"/>
    <w:rsid w:val="00E24D65"/>
    <w:rsid w:val="00E25075"/>
    <w:rsid w:val="00E32423"/>
    <w:rsid w:val="00E4066E"/>
    <w:rsid w:val="00E42FDC"/>
    <w:rsid w:val="00E43E12"/>
    <w:rsid w:val="00E467AC"/>
    <w:rsid w:val="00E5475B"/>
    <w:rsid w:val="00E562DB"/>
    <w:rsid w:val="00E65107"/>
    <w:rsid w:val="00E765BA"/>
    <w:rsid w:val="00E87F9F"/>
    <w:rsid w:val="00EA1D2B"/>
    <w:rsid w:val="00EB2CD3"/>
    <w:rsid w:val="00EB39EA"/>
    <w:rsid w:val="00EB3E8D"/>
    <w:rsid w:val="00EC01CD"/>
    <w:rsid w:val="00EC7FD3"/>
    <w:rsid w:val="00ED1886"/>
    <w:rsid w:val="00ED270E"/>
    <w:rsid w:val="00ED746B"/>
    <w:rsid w:val="00ED7ECA"/>
    <w:rsid w:val="00EF0119"/>
    <w:rsid w:val="00EF02F1"/>
    <w:rsid w:val="00EF1758"/>
    <w:rsid w:val="00F02D33"/>
    <w:rsid w:val="00F03C5F"/>
    <w:rsid w:val="00F1046E"/>
    <w:rsid w:val="00F149CC"/>
    <w:rsid w:val="00F17574"/>
    <w:rsid w:val="00F17C79"/>
    <w:rsid w:val="00F22835"/>
    <w:rsid w:val="00F26D1A"/>
    <w:rsid w:val="00F31692"/>
    <w:rsid w:val="00F37A9F"/>
    <w:rsid w:val="00F42B39"/>
    <w:rsid w:val="00F52DD3"/>
    <w:rsid w:val="00F651C4"/>
    <w:rsid w:val="00F70F88"/>
    <w:rsid w:val="00F751F1"/>
    <w:rsid w:val="00F82F68"/>
    <w:rsid w:val="00F930CB"/>
    <w:rsid w:val="00FA0233"/>
    <w:rsid w:val="00FA18C1"/>
    <w:rsid w:val="00FB7135"/>
    <w:rsid w:val="00FD7576"/>
    <w:rsid w:val="00FE0CBF"/>
    <w:rsid w:val="00FE43A4"/>
    <w:rsid w:val="00FE77FF"/>
    <w:rsid w:val="00FF54E3"/>
    <w:rsid w:val="00FF76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C918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3"/>
        <w:szCs w:val="23"/>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F68"/>
    <w:pPr>
      <w:spacing w:before="100" w:beforeAutospacing="1" w:after="100" w:afterAutospacing="1" w:line="240" w:lineRule="auto"/>
      <w:jc w:val="both"/>
    </w:pPr>
    <w:rPr>
      <w:sz w:val="24"/>
    </w:rPr>
  </w:style>
  <w:style w:type="paragraph" w:styleId="Heading1">
    <w:name w:val="heading 1"/>
    <w:basedOn w:val="Normal"/>
    <w:next w:val="Normal"/>
    <w:link w:val="Heading1Char"/>
    <w:uiPriority w:val="9"/>
    <w:qFormat/>
    <w:rsid w:val="009B2C95"/>
    <w:pPr>
      <w:keepNext/>
      <w:keepLines/>
      <w:spacing w:before="240" w:after="0"/>
      <w:outlineLvl w:val="0"/>
    </w:pPr>
    <w:rPr>
      <w:rFonts w:asciiTheme="majorHAnsi" w:eastAsiaTheme="majorEastAsia" w:hAnsiTheme="majorHAnsi" w:cstheme="majorBidi"/>
      <w:b/>
      <w:color w:val="0077C0"/>
      <w:sz w:val="32"/>
      <w:szCs w:val="32"/>
    </w:rPr>
  </w:style>
  <w:style w:type="paragraph" w:styleId="Heading2">
    <w:name w:val="heading 2"/>
    <w:basedOn w:val="Normal"/>
    <w:next w:val="Normal"/>
    <w:link w:val="Heading2Char"/>
    <w:uiPriority w:val="9"/>
    <w:unhideWhenUsed/>
    <w:qFormat/>
    <w:rsid w:val="009B2C95"/>
    <w:pPr>
      <w:keepNext/>
      <w:keepLines/>
      <w:spacing w:before="120" w:after="120"/>
      <w:outlineLvl w:val="1"/>
    </w:pPr>
    <w:rPr>
      <w:rFonts w:asciiTheme="majorHAnsi" w:eastAsiaTheme="majorEastAsia" w:hAnsiTheme="majorHAnsi" w:cstheme="majorBidi"/>
      <w:color w:val="0077C0"/>
      <w:sz w:val="28"/>
      <w:szCs w:val="26"/>
    </w:rPr>
  </w:style>
  <w:style w:type="paragraph" w:styleId="Heading3">
    <w:name w:val="heading 3"/>
    <w:basedOn w:val="Normal"/>
    <w:next w:val="Normal"/>
    <w:link w:val="Heading3Char"/>
    <w:uiPriority w:val="9"/>
    <w:unhideWhenUsed/>
    <w:qFormat/>
    <w:rsid w:val="009B2C95"/>
    <w:pPr>
      <w:keepNext/>
      <w:keepLines/>
      <w:spacing w:before="40" w:after="0"/>
      <w:outlineLvl w:val="2"/>
    </w:pPr>
    <w:rPr>
      <w:rFonts w:asciiTheme="majorHAnsi" w:eastAsiaTheme="majorEastAsia" w:hAnsiTheme="majorHAnsi" w:cstheme="majorBidi"/>
      <w:color w:val="0077C0"/>
      <w:szCs w:val="24"/>
    </w:rPr>
  </w:style>
  <w:style w:type="paragraph" w:styleId="Heading4">
    <w:name w:val="heading 4"/>
    <w:basedOn w:val="Normal"/>
    <w:next w:val="Normal"/>
    <w:link w:val="Heading4Char"/>
    <w:uiPriority w:val="9"/>
    <w:unhideWhenUsed/>
    <w:qFormat/>
    <w:rsid w:val="00A416A4"/>
    <w:pPr>
      <w:keepNext/>
      <w:keepLines/>
      <w:spacing w:before="40" w:after="0"/>
      <w:outlineLvl w:val="3"/>
    </w:pPr>
    <w:rPr>
      <w:rFonts w:asciiTheme="majorHAnsi" w:eastAsiaTheme="majorEastAsia" w:hAnsiTheme="majorHAnsi" w:cstheme="majorBidi"/>
      <w:i/>
      <w:iCs/>
      <w:color w:val="00598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C95"/>
    <w:rPr>
      <w:rFonts w:asciiTheme="majorHAnsi" w:eastAsiaTheme="majorEastAsia" w:hAnsiTheme="majorHAnsi" w:cstheme="majorBidi"/>
      <w:b/>
      <w:color w:val="0077C0"/>
      <w:sz w:val="32"/>
      <w:szCs w:val="32"/>
    </w:rPr>
  </w:style>
  <w:style w:type="paragraph" w:styleId="Title">
    <w:name w:val="Title"/>
    <w:basedOn w:val="Normal"/>
    <w:next w:val="Normal"/>
    <w:link w:val="TitleChar"/>
    <w:uiPriority w:val="10"/>
    <w:qFormat/>
    <w:rsid w:val="002E2D44"/>
    <w:pPr>
      <w:spacing w:after="0"/>
      <w:contextualSpacing/>
    </w:pPr>
    <w:rPr>
      <w:rFonts w:asciiTheme="majorHAnsi" w:eastAsiaTheme="majorEastAsia" w:hAnsiTheme="majorHAnsi" w:cstheme="majorBidi"/>
      <w:color w:val="0077C0" w:themeColor="text1"/>
      <w:spacing w:val="-10"/>
      <w:kern w:val="28"/>
      <w:sz w:val="56"/>
      <w:szCs w:val="56"/>
    </w:rPr>
  </w:style>
  <w:style w:type="character" w:customStyle="1" w:styleId="TitleChar">
    <w:name w:val="Title Char"/>
    <w:basedOn w:val="DefaultParagraphFont"/>
    <w:link w:val="Title"/>
    <w:uiPriority w:val="10"/>
    <w:rsid w:val="002E2D44"/>
    <w:rPr>
      <w:rFonts w:asciiTheme="majorHAnsi" w:eastAsiaTheme="majorEastAsia" w:hAnsiTheme="majorHAnsi" w:cstheme="majorBidi"/>
      <w:color w:val="0077C0" w:themeColor="text1"/>
      <w:spacing w:val="-10"/>
      <w:kern w:val="28"/>
      <w:sz w:val="56"/>
      <w:szCs w:val="56"/>
    </w:rPr>
  </w:style>
  <w:style w:type="paragraph" w:styleId="ListParagraph">
    <w:name w:val="List Paragraph"/>
    <w:basedOn w:val="Normal"/>
    <w:uiPriority w:val="34"/>
    <w:qFormat/>
    <w:rsid w:val="00170CB8"/>
    <w:pPr>
      <w:ind w:left="720"/>
      <w:contextualSpacing/>
    </w:pPr>
  </w:style>
  <w:style w:type="character" w:customStyle="1" w:styleId="Heading2Char">
    <w:name w:val="Heading 2 Char"/>
    <w:basedOn w:val="DefaultParagraphFont"/>
    <w:link w:val="Heading2"/>
    <w:uiPriority w:val="9"/>
    <w:rsid w:val="009B2C95"/>
    <w:rPr>
      <w:rFonts w:asciiTheme="majorHAnsi" w:eastAsiaTheme="majorEastAsia" w:hAnsiTheme="majorHAnsi" w:cstheme="majorBidi"/>
      <w:color w:val="0077C0"/>
      <w:sz w:val="28"/>
      <w:szCs w:val="26"/>
    </w:rPr>
  </w:style>
  <w:style w:type="paragraph" w:styleId="Caption">
    <w:name w:val="caption"/>
    <w:basedOn w:val="Normal"/>
    <w:next w:val="Normal"/>
    <w:uiPriority w:val="35"/>
    <w:unhideWhenUsed/>
    <w:qFormat/>
    <w:rsid w:val="00A7514E"/>
    <w:pPr>
      <w:spacing w:after="200"/>
    </w:pPr>
    <w:rPr>
      <w:i/>
      <w:iCs/>
      <w:color w:val="0077C0" w:themeColor="text2"/>
      <w:sz w:val="18"/>
      <w:szCs w:val="18"/>
    </w:rPr>
  </w:style>
  <w:style w:type="character" w:styleId="Hyperlink">
    <w:name w:val="Hyperlink"/>
    <w:basedOn w:val="DefaultParagraphFont"/>
    <w:uiPriority w:val="99"/>
    <w:unhideWhenUsed/>
    <w:rsid w:val="00A7514E"/>
    <w:rPr>
      <w:color w:val="0077C0" w:themeColor="hyperlink"/>
      <w:u w:val="single"/>
    </w:rPr>
  </w:style>
  <w:style w:type="paragraph" w:styleId="FootnoteText">
    <w:name w:val="footnote text"/>
    <w:basedOn w:val="Normal"/>
    <w:link w:val="FootnoteTextChar"/>
    <w:uiPriority w:val="99"/>
    <w:semiHidden/>
    <w:unhideWhenUsed/>
    <w:rsid w:val="00A7514E"/>
    <w:pPr>
      <w:spacing w:after="0"/>
    </w:pPr>
    <w:rPr>
      <w:sz w:val="20"/>
      <w:szCs w:val="20"/>
    </w:rPr>
  </w:style>
  <w:style w:type="character" w:customStyle="1" w:styleId="FootnoteTextChar">
    <w:name w:val="Footnote Text Char"/>
    <w:basedOn w:val="DefaultParagraphFont"/>
    <w:link w:val="FootnoteText"/>
    <w:uiPriority w:val="99"/>
    <w:semiHidden/>
    <w:rsid w:val="00A7514E"/>
    <w:rPr>
      <w:sz w:val="20"/>
      <w:szCs w:val="20"/>
    </w:rPr>
  </w:style>
  <w:style w:type="character" w:styleId="FootnoteReference">
    <w:name w:val="footnote reference"/>
    <w:basedOn w:val="DefaultParagraphFont"/>
    <w:uiPriority w:val="99"/>
    <w:semiHidden/>
    <w:unhideWhenUsed/>
    <w:rsid w:val="00A7514E"/>
    <w:rPr>
      <w:vertAlign w:val="superscript"/>
    </w:rPr>
  </w:style>
  <w:style w:type="character" w:customStyle="1" w:styleId="apple-converted-space">
    <w:name w:val="apple-converted-space"/>
    <w:basedOn w:val="DefaultParagraphFont"/>
    <w:rsid w:val="00825BE2"/>
  </w:style>
  <w:style w:type="character" w:styleId="FollowedHyperlink">
    <w:name w:val="FollowedHyperlink"/>
    <w:basedOn w:val="DefaultParagraphFont"/>
    <w:uiPriority w:val="99"/>
    <w:semiHidden/>
    <w:unhideWhenUsed/>
    <w:rsid w:val="004268DF"/>
    <w:rPr>
      <w:color w:val="800080" w:themeColor="followedHyperlink"/>
      <w:u w:val="single"/>
    </w:rPr>
  </w:style>
  <w:style w:type="character" w:customStyle="1" w:styleId="Heading3Char">
    <w:name w:val="Heading 3 Char"/>
    <w:basedOn w:val="DefaultParagraphFont"/>
    <w:link w:val="Heading3"/>
    <w:uiPriority w:val="9"/>
    <w:rsid w:val="009B2C95"/>
    <w:rPr>
      <w:rFonts w:asciiTheme="majorHAnsi" w:eastAsiaTheme="majorEastAsia" w:hAnsiTheme="majorHAnsi" w:cstheme="majorBidi"/>
      <w:color w:val="0077C0"/>
      <w:sz w:val="24"/>
      <w:szCs w:val="24"/>
    </w:rPr>
  </w:style>
  <w:style w:type="paragraph" w:styleId="NormalWeb">
    <w:name w:val="Normal (Web)"/>
    <w:basedOn w:val="Normal"/>
    <w:uiPriority w:val="99"/>
    <w:semiHidden/>
    <w:unhideWhenUsed/>
    <w:rsid w:val="00A67B77"/>
    <w:pPr>
      <w:jc w:val="left"/>
    </w:pPr>
    <w:rPr>
      <w:rFonts w:ascii="Times New Roman" w:eastAsiaTheme="minorEastAsia" w:hAnsi="Times New Roman" w:cs="Times New Roman"/>
      <w:szCs w:val="24"/>
      <w:lang w:eastAsia="en-AU"/>
    </w:rPr>
  </w:style>
  <w:style w:type="paragraph" w:styleId="Header">
    <w:name w:val="header"/>
    <w:basedOn w:val="Normal"/>
    <w:link w:val="HeaderChar"/>
    <w:uiPriority w:val="99"/>
    <w:unhideWhenUsed/>
    <w:rsid w:val="00012736"/>
    <w:pPr>
      <w:tabs>
        <w:tab w:val="center" w:pos="4513"/>
        <w:tab w:val="right" w:pos="9026"/>
      </w:tabs>
      <w:spacing w:after="0"/>
    </w:pPr>
  </w:style>
  <w:style w:type="character" w:customStyle="1" w:styleId="HeaderChar">
    <w:name w:val="Header Char"/>
    <w:basedOn w:val="DefaultParagraphFont"/>
    <w:link w:val="Header"/>
    <w:uiPriority w:val="99"/>
    <w:rsid w:val="00012736"/>
    <w:rPr>
      <w:sz w:val="24"/>
    </w:rPr>
  </w:style>
  <w:style w:type="paragraph" w:styleId="Footer">
    <w:name w:val="footer"/>
    <w:basedOn w:val="Normal"/>
    <w:link w:val="FooterChar"/>
    <w:uiPriority w:val="99"/>
    <w:unhideWhenUsed/>
    <w:rsid w:val="00012736"/>
    <w:pPr>
      <w:tabs>
        <w:tab w:val="center" w:pos="4513"/>
        <w:tab w:val="right" w:pos="9026"/>
      </w:tabs>
      <w:spacing w:after="0"/>
    </w:pPr>
  </w:style>
  <w:style w:type="character" w:customStyle="1" w:styleId="FooterChar">
    <w:name w:val="Footer Char"/>
    <w:basedOn w:val="DefaultParagraphFont"/>
    <w:link w:val="Footer"/>
    <w:uiPriority w:val="99"/>
    <w:rsid w:val="00012736"/>
    <w:rPr>
      <w:sz w:val="24"/>
    </w:rPr>
  </w:style>
  <w:style w:type="table" w:styleId="TableGrid">
    <w:name w:val="Table Grid"/>
    <w:basedOn w:val="TableNormal"/>
    <w:uiPriority w:val="59"/>
    <w:rsid w:val="00665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55CD"/>
    <w:rPr>
      <w:sz w:val="16"/>
      <w:szCs w:val="16"/>
    </w:rPr>
  </w:style>
  <w:style w:type="paragraph" w:styleId="CommentText">
    <w:name w:val="annotation text"/>
    <w:basedOn w:val="Normal"/>
    <w:link w:val="CommentTextChar"/>
    <w:uiPriority w:val="99"/>
    <w:semiHidden/>
    <w:unhideWhenUsed/>
    <w:rsid w:val="005855CD"/>
    <w:rPr>
      <w:sz w:val="20"/>
      <w:szCs w:val="20"/>
    </w:rPr>
  </w:style>
  <w:style w:type="character" w:customStyle="1" w:styleId="CommentTextChar">
    <w:name w:val="Comment Text Char"/>
    <w:basedOn w:val="DefaultParagraphFont"/>
    <w:link w:val="CommentText"/>
    <w:uiPriority w:val="99"/>
    <w:semiHidden/>
    <w:rsid w:val="005855CD"/>
    <w:rPr>
      <w:sz w:val="20"/>
      <w:szCs w:val="20"/>
    </w:rPr>
  </w:style>
  <w:style w:type="paragraph" w:styleId="CommentSubject">
    <w:name w:val="annotation subject"/>
    <w:basedOn w:val="CommentText"/>
    <w:next w:val="CommentText"/>
    <w:link w:val="CommentSubjectChar"/>
    <w:uiPriority w:val="99"/>
    <w:semiHidden/>
    <w:unhideWhenUsed/>
    <w:rsid w:val="005855CD"/>
    <w:rPr>
      <w:b/>
      <w:bCs/>
    </w:rPr>
  </w:style>
  <w:style w:type="character" w:customStyle="1" w:styleId="CommentSubjectChar">
    <w:name w:val="Comment Subject Char"/>
    <w:basedOn w:val="CommentTextChar"/>
    <w:link w:val="CommentSubject"/>
    <w:uiPriority w:val="99"/>
    <w:semiHidden/>
    <w:rsid w:val="005855CD"/>
    <w:rPr>
      <w:b/>
      <w:bCs/>
      <w:sz w:val="20"/>
      <w:szCs w:val="20"/>
    </w:rPr>
  </w:style>
  <w:style w:type="paragraph" w:styleId="BalloonText">
    <w:name w:val="Balloon Text"/>
    <w:basedOn w:val="Normal"/>
    <w:link w:val="BalloonTextChar"/>
    <w:uiPriority w:val="99"/>
    <w:semiHidden/>
    <w:unhideWhenUsed/>
    <w:rsid w:val="005855C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5CD"/>
    <w:rPr>
      <w:rFonts w:ascii="Segoe UI" w:hAnsi="Segoe UI" w:cs="Segoe UI"/>
      <w:sz w:val="18"/>
      <w:szCs w:val="18"/>
    </w:rPr>
  </w:style>
  <w:style w:type="paragraph" w:customStyle="1" w:styleId="Default">
    <w:name w:val="Default"/>
    <w:rsid w:val="00A5618D"/>
    <w:pPr>
      <w:autoSpaceDE w:val="0"/>
      <w:autoSpaceDN w:val="0"/>
      <w:adjustRightInd w:val="0"/>
      <w:spacing w:after="200" w:line="240" w:lineRule="auto"/>
    </w:pPr>
    <w:rPr>
      <w:rFonts w:eastAsia="Times New Roman"/>
      <w:color w:val="000000"/>
      <w:sz w:val="22"/>
      <w:szCs w:val="24"/>
    </w:rPr>
  </w:style>
  <w:style w:type="character" w:styleId="Strong">
    <w:name w:val="Strong"/>
    <w:basedOn w:val="DefaultParagraphFont"/>
    <w:uiPriority w:val="22"/>
    <w:qFormat/>
    <w:rsid w:val="002510E7"/>
    <w:rPr>
      <w:b/>
      <w:bCs/>
    </w:rPr>
  </w:style>
  <w:style w:type="character" w:customStyle="1" w:styleId="Heading4Char">
    <w:name w:val="Heading 4 Char"/>
    <w:basedOn w:val="DefaultParagraphFont"/>
    <w:link w:val="Heading4"/>
    <w:uiPriority w:val="9"/>
    <w:rsid w:val="00A416A4"/>
    <w:rPr>
      <w:rFonts w:asciiTheme="majorHAnsi" w:eastAsiaTheme="majorEastAsia" w:hAnsiTheme="majorHAnsi" w:cstheme="majorBidi"/>
      <w:i/>
      <w:iCs/>
      <w:color w:val="00598F" w:themeColor="accent1" w:themeShade="BF"/>
      <w:sz w:val="24"/>
    </w:rPr>
  </w:style>
  <w:style w:type="character" w:styleId="BookTitle">
    <w:name w:val="Book Title"/>
    <w:aliases w:val="cover page title"/>
    <w:basedOn w:val="DefaultParagraphFont"/>
    <w:uiPriority w:val="33"/>
    <w:qFormat/>
    <w:rsid w:val="00380BA9"/>
    <w:rPr>
      <w:rFonts w:ascii="Arial" w:hAnsi="Arial"/>
      <w:bCs/>
      <w:spacing w:val="5"/>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52811">
      <w:bodyDiv w:val="1"/>
      <w:marLeft w:val="0"/>
      <w:marRight w:val="0"/>
      <w:marTop w:val="0"/>
      <w:marBottom w:val="0"/>
      <w:divBdr>
        <w:top w:val="none" w:sz="0" w:space="0" w:color="auto"/>
        <w:left w:val="none" w:sz="0" w:space="0" w:color="auto"/>
        <w:bottom w:val="none" w:sz="0" w:space="0" w:color="auto"/>
        <w:right w:val="none" w:sz="0" w:space="0" w:color="auto"/>
      </w:divBdr>
    </w:div>
    <w:div w:id="452679001">
      <w:bodyDiv w:val="1"/>
      <w:marLeft w:val="0"/>
      <w:marRight w:val="0"/>
      <w:marTop w:val="0"/>
      <w:marBottom w:val="0"/>
      <w:divBdr>
        <w:top w:val="none" w:sz="0" w:space="0" w:color="auto"/>
        <w:left w:val="none" w:sz="0" w:space="0" w:color="auto"/>
        <w:bottom w:val="none" w:sz="0" w:space="0" w:color="auto"/>
        <w:right w:val="none" w:sz="0" w:space="0" w:color="auto"/>
      </w:divBdr>
    </w:div>
    <w:div w:id="522402691">
      <w:bodyDiv w:val="1"/>
      <w:marLeft w:val="0"/>
      <w:marRight w:val="0"/>
      <w:marTop w:val="0"/>
      <w:marBottom w:val="0"/>
      <w:divBdr>
        <w:top w:val="none" w:sz="0" w:space="0" w:color="auto"/>
        <w:left w:val="none" w:sz="0" w:space="0" w:color="auto"/>
        <w:bottom w:val="none" w:sz="0" w:space="0" w:color="auto"/>
        <w:right w:val="none" w:sz="0" w:space="0" w:color="auto"/>
      </w:divBdr>
    </w:div>
    <w:div w:id="574123390">
      <w:bodyDiv w:val="1"/>
      <w:marLeft w:val="0"/>
      <w:marRight w:val="0"/>
      <w:marTop w:val="0"/>
      <w:marBottom w:val="0"/>
      <w:divBdr>
        <w:top w:val="none" w:sz="0" w:space="0" w:color="auto"/>
        <w:left w:val="none" w:sz="0" w:space="0" w:color="auto"/>
        <w:bottom w:val="none" w:sz="0" w:space="0" w:color="auto"/>
        <w:right w:val="none" w:sz="0" w:space="0" w:color="auto"/>
      </w:divBdr>
    </w:div>
    <w:div w:id="582884333">
      <w:bodyDiv w:val="1"/>
      <w:marLeft w:val="0"/>
      <w:marRight w:val="0"/>
      <w:marTop w:val="0"/>
      <w:marBottom w:val="0"/>
      <w:divBdr>
        <w:top w:val="none" w:sz="0" w:space="0" w:color="auto"/>
        <w:left w:val="none" w:sz="0" w:space="0" w:color="auto"/>
        <w:bottom w:val="none" w:sz="0" w:space="0" w:color="auto"/>
        <w:right w:val="none" w:sz="0" w:space="0" w:color="auto"/>
      </w:divBdr>
    </w:div>
    <w:div w:id="818157059">
      <w:bodyDiv w:val="1"/>
      <w:marLeft w:val="0"/>
      <w:marRight w:val="0"/>
      <w:marTop w:val="0"/>
      <w:marBottom w:val="0"/>
      <w:divBdr>
        <w:top w:val="none" w:sz="0" w:space="0" w:color="auto"/>
        <w:left w:val="none" w:sz="0" w:space="0" w:color="auto"/>
        <w:bottom w:val="none" w:sz="0" w:space="0" w:color="auto"/>
        <w:right w:val="none" w:sz="0" w:space="0" w:color="auto"/>
      </w:divBdr>
    </w:div>
    <w:div w:id="1615091594">
      <w:bodyDiv w:val="1"/>
      <w:marLeft w:val="0"/>
      <w:marRight w:val="0"/>
      <w:marTop w:val="0"/>
      <w:marBottom w:val="0"/>
      <w:divBdr>
        <w:top w:val="none" w:sz="0" w:space="0" w:color="auto"/>
        <w:left w:val="none" w:sz="0" w:space="0" w:color="auto"/>
        <w:bottom w:val="none" w:sz="0" w:space="0" w:color="auto"/>
        <w:right w:val="none" w:sz="0" w:space="0" w:color="auto"/>
      </w:divBdr>
    </w:div>
    <w:div w:id="1764715462">
      <w:bodyDiv w:val="1"/>
      <w:marLeft w:val="0"/>
      <w:marRight w:val="0"/>
      <w:marTop w:val="0"/>
      <w:marBottom w:val="0"/>
      <w:divBdr>
        <w:top w:val="none" w:sz="0" w:space="0" w:color="auto"/>
        <w:left w:val="none" w:sz="0" w:space="0" w:color="auto"/>
        <w:bottom w:val="none" w:sz="0" w:space="0" w:color="auto"/>
        <w:right w:val="none" w:sz="0" w:space="0" w:color="auto"/>
      </w:divBdr>
    </w:div>
    <w:div w:id="1821193598">
      <w:bodyDiv w:val="1"/>
      <w:marLeft w:val="0"/>
      <w:marRight w:val="0"/>
      <w:marTop w:val="0"/>
      <w:marBottom w:val="0"/>
      <w:divBdr>
        <w:top w:val="none" w:sz="0" w:space="0" w:color="auto"/>
        <w:left w:val="none" w:sz="0" w:space="0" w:color="auto"/>
        <w:bottom w:val="none" w:sz="0" w:space="0" w:color="auto"/>
        <w:right w:val="none" w:sz="0" w:space="0" w:color="auto"/>
      </w:divBdr>
    </w:div>
    <w:div w:id="1822574462">
      <w:bodyDiv w:val="1"/>
      <w:marLeft w:val="0"/>
      <w:marRight w:val="0"/>
      <w:marTop w:val="0"/>
      <w:marBottom w:val="0"/>
      <w:divBdr>
        <w:top w:val="none" w:sz="0" w:space="0" w:color="auto"/>
        <w:left w:val="none" w:sz="0" w:space="0" w:color="auto"/>
        <w:bottom w:val="none" w:sz="0" w:space="0" w:color="auto"/>
        <w:right w:val="none" w:sz="0" w:space="0" w:color="auto"/>
      </w:divBdr>
    </w:div>
    <w:div w:id="1843620946">
      <w:bodyDiv w:val="1"/>
      <w:marLeft w:val="0"/>
      <w:marRight w:val="0"/>
      <w:marTop w:val="0"/>
      <w:marBottom w:val="0"/>
      <w:divBdr>
        <w:top w:val="none" w:sz="0" w:space="0" w:color="auto"/>
        <w:left w:val="none" w:sz="0" w:space="0" w:color="auto"/>
        <w:bottom w:val="none" w:sz="0" w:space="0" w:color="auto"/>
        <w:right w:val="none" w:sz="0" w:space="0" w:color="auto"/>
      </w:divBdr>
    </w:div>
    <w:div w:id="1884056973">
      <w:bodyDiv w:val="1"/>
      <w:marLeft w:val="0"/>
      <w:marRight w:val="0"/>
      <w:marTop w:val="0"/>
      <w:marBottom w:val="0"/>
      <w:divBdr>
        <w:top w:val="none" w:sz="0" w:space="0" w:color="auto"/>
        <w:left w:val="none" w:sz="0" w:space="0" w:color="auto"/>
        <w:bottom w:val="none" w:sz="0" w:space="0" w:color="auto"/>
        <w:right w:val="none" w:sz="0" w:space="0" w:color="auto"/>
      </w:divBdr>
    </w:div>
    <w:div w:id="2117750853">
      <w:bodyDiv w:val="1"/>
      <w:marLeft w:val="0"/>
      <w:marRight w:val="0"/>
      <w:marTop w:val="0"/>
      <w:marBottom w:val="0"/>
      <w:divBdr>
        <w:top w:val="none" w:sz="0" w:space="0" w:color="auto"/>
        <w:left w:val="none" w:sz="0" w:space="0" w:color="auto"/>
        <w:bottom w:val="none" w:sz="0" w:space="0" w:color="auto"/>
        <w:right w:val="none" w:sz="0" w:space="0" w:color="auto"/>
      </w:divBdr>
    </w:div>
    <w:div w:id="213424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1.png@01D08C07.2BC9F5A0" TargetMode="External"/><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icwa.wa.gov.au/riskcover/risk-management"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yperlink" Target="https://www.icwa.wa.gov.au/riskcover/risk-management" TargetMode="External"/><Relationship Id="rId2" Type="http://schemas.openxmlformats.org/officeDocument/2006/relationships/numbering" Target="numbering.xml"/><Relationship Id="rId16" Type="http://schemas.openxmlformats.org/officeDocument/2006/relationships/hyperlink" Target="http://www.dpc.wa.gov.au/GuidelinesAndPolicies/SymbolsOfWA/Pages/CoatofArms.aspx" TargetMode="External"/><Relationship Id="rId20" Type="http://schemas.openxmlformats.org/officeDocument/2006/relationships/hyperlink" Target="https://www.contractswa.finance.wa.gov.au/contractinfo.jsp?CuaNo=CUAICTS20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deed.us" TargetMode="External"/><Relationship Id="rId24" Type="http://schemas.openxmlformats.org/officeDocument/2006/relationships/hyperlink" Target="http://www.iso.org/iso/catalogue_detail?csnumber=44374" TargetMode="External"/><Relationship Id="rId5" Type="http://schemas.openxmlformats.org/officeDocument/2006/relationships/webSettings" Target="webSettings.xml"/><Relationship Id="rId15" Type="http://schemas.openxmlformats.org/officeDocument/2006/relationships/hyperlink" Target="http://www.gcio.wa.gov.au/" TargetMode="External"/><Relationship Id="rId23" Type="http://schemas.openxmlformats.org/officeDocument/2006/relationships/hyperlink" Target="http://www.iso.org/iso/catalogue_detail?csnumber=50038" TargetMode="External"/><Relationship Id="rId28" Type="http://schemas.openxmlformats.org/officeDocument/2006/relationships/theme" Target="theme/theme1.xml"/><Relationship Id="rId10" Type="http://schemas.openxmlformats.org/officeDocument/2006/relationships/hyperlink" Target="mailto:policy@gcio.wa.gov.au" TargetMode="External"/><Relationship Id="rId19" Type="http://schemas.openxmlformats.org/officeDocument/2006/relationships/hyperlink" Target="https://www.contractswa.finance.wa.gov.au/contractinfo.jsp?CuaNo=CUA2370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reativecommons.org/licenses/by/4.0/legalcode" TargetMode="External"/><Relationship Id="rId22" Type="http://schemas.openxmlformats.org/officeDocument/2006/relationships/hyperlink" Target="https://www.anao.gov.au/work/better-practice-guide/business-continuity-management-building-resilience-public-sector-entiti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GovNext-ICT">
      <a:dk1>
        <a:srgbClr val="0077C0"/>
      </a:dk1>
      <a:lt1>
        <a:sysClr val="window" lastClr="FFFFFF"/>
      </a:lt1>
      <a:dk2>
        <a:srgbClr val="0077C0"/>
      </a:dk2>
      <a:lt2>
        <a:srgbClr val="FFFFFF"/>
      </a:lt2>
      <a:accent1>
        <a:srgbClr val="0077C0"/>
      </a:accent1>
      <a:accent2>
        <a:srgbClr val="0077C0"/>
      </a:accent2>
      <a:accent3>
        <a:srgbClr val="0077C0"/>
      </a:accent3>
      <a:accent4>
        <a:srgbClr val="0077C0"/>
      </a:accent4>
      <a:accent5>
        <a:srgbClr val="0077C0"/>
      </a:accent5>
      <a:accent6>
        <a:srgbClr val="0077C0"/>
      </a:accent6>
      <a:hlink>
        <a:srgbClr val="0077C0"/>
      </a:hlink>
      <a:folHlink>
        <a:srgbClr val="800080"/>
      </a:folHlink>
    </a:clrScheme>
    <a:fontScheme name="Governme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714AE-C722-4564-AE4F-711200C9C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3926</Words>
  <Characters>22384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ICT Disaster Recovery for Business Continuity Policy - A Supporting Guide</vt:lpstr>
    </vt:vector>
  </TitlesOfParts>
  <Company/>
  <LinksUpToDate>false</LinksUpToDate>
  <CharactersWithSpaces>26258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 Disaster Recovery for Business Continuity Policy - A Supporting Guide</dc:title>
  <dc:subject>ICT Disaster Recovery for Business Continuity Policy - A Supporting Guide</dc:subject>
  <dc:creator/>
  <cp:keywords>ICT Disaster Recovery for Business Continuity Policy - A Supporting Guide</cp:keywords>
  <dc:description/>
  <cp:lastModifiedBy/>
  <cp:revision>1</cp:revision>
  <dcterms:created xsi:type="dcterms:W3CDTF">2017-04-03T07:09:00Z</dcterms:created>
  <dcterms:modified xsi:type="dcterms:W3CDTF">2018-06-06T07:39:00Z</dcterms:modified>
</cp:coreProperties>
</file>